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13147">
      <w:pPr>
        <w:pStyle w:val="6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附件</w:t>
      </w:r>
    </w:p>
    <w:p w14:paraId="26170489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白山</w:t>
      </w:r>
      <w:r>
        <w:rPr>
          <w:rFonts w:hint="eastAsia"/>
          <w:color w:val="auto"/>
        </w:rPr>
        <w:t>市</w:t>
      </w:r>
      <w:r>
        <w:rPr>
          <w:rFonts w:hint="eastAsia"/>
          <w:color w:val="auto"/>
          <w:lang w:eastAsia="zh-CN"/>
        </w:rPr>
        <w:t>城市</w:t>
      </w:r>
      <w:r>
        <w:rPr>
          <w:rFonts w:hint="eastAsia"/>
          <w:color w:val="auto"/>
        </w:rPr>
        <w:t>危险房屋管理</w:t>
      </w:r>
      <w:r>
        <w:rPr>
          <w:rFonts w:hint="eastAsia"/>
          <w:color w:val="auto"/>
          <w:lang w:eastAsia="zh-CN"/>
        </w:rPr>
        <w:t>暂行</w:t>
      </w:r>
      <w:r>
        <w:rPr>
          <w:rFonts w:hint="eastAsia"/>
          <w:color w:val="auto"/>
        </w:rPr>
        <w:t>办法</w:t>
      </w:r>
    </w:p>
    <w:p w14:paraId="729591A5">
      <w:pPr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ascii="Calibri" w:hAnsi="Calibri" w:eastAsia="宋体" w:cs="Times New Roman"/>
          <w:b/>
          <w:color w:val="auto"/>
          <w:kern w:val="44"/>
          <w:sz w:val="44"/>
          <w:szCs w:val="24"/>
          <w:lang w:val="en-US" w:eastAsia="zh-CN" w:bidi="ar-SA"/>
        </w:rPr>
        <w:t>（征求意见稿）</w:t>
      </w:r>
    </w:p>
    <w:p w14:paraId="139BB528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auto"/>
        <w:rPr>
          <w:rFonts w:hint="eastAsia"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第一章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</w:rPr>
        <w:t>总则</w:t>
      </w:r>
    </w:p>
    <w:p w14:paraId="5E8C6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第一条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白山市城市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危险房屋管理，保障居住和使用安全，根据国家有关规定，结合本市实际，制定本办法。</w:t>
      </w:r>
    </w:p>
    <w:p w14:paraId="3DF84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本办法适用于本市行政辖区内城镇各种所有制房屋。房屋所有人（含代管人，下同）和使用人均应遵守本办法。</w:t>
      </w:r>
    </w:p>
    <w:p w14:paraId="42A0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军队、宗教和文物保护单位的房屋依照国家有关规定执行。</w:t>
      </w:r>
    </w:p>
    <w:p w14:paraId="72B90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本办法所称危险房屋系指结构已严重损坏和承重构件已属危险构件，随时有可能丧失结构稳定性和承载能力，不能保证居住和使用安全的房屋。</w:t>
      </w:r>
    </w:p>
    <w:p w14:paraId="6353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房屋所有人和使用人，应加强对房屋以及附属建筑物的安全检查和维修，保证其正确使用，禁止擅自改变房屋使用性质、结构，或超荷载使用以及其它有损房屋安全的行为。</w:t>
      </w:r>
    </w:p>
    <w:p w14:paraId="318A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房屋所有人应对房屋安全负责。</w:t>
      </w:r>
    </w:p>
    <w:p w14:paraId="0A385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市人民政府负责对全市危险房屋管理工作的组织领导，市直教育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卫生健康、文化旅游、体育、民政、交通运输、民族宗教、机关事务管理、园林文物、商务、经济和信息化等部门做好市本级各自行管领域、场所涉及的危险房屋管理工作，督促房屋所有人开展房屋安全检查、鉴定、治理等工作。</w:t>
      </w:r>
    </w:p>
    <w:p w14:paraId="45C4B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市住建部门负责对各县（市、区）、各市直部门危险房屋管理工作进行调度和指导。</w:t>
      </w:r>
    </w:p>
    <w:p w14:paraId="62875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县（市、区）人民政府负责对辖区危险房屋管理工作的组织领导，综合协调属地各部门共同做好各自行管领域的危险房屋管理工作，并统筹街道（乡镇）做好住宅房屋安全管理工作。明确属地危险房屋行政管理部门，负责对辖区危险房屋管理工作的调度、监督和指导。</w:t>
      </w:r>
    </w:p>
    <w:p w14:paraId="6C034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各地应建立房屋安全专家库或委员会，负责统筹协调鉴定机构开展危险房屋有关工作。</w:t>
      </w:r>
    </w:p>
    <w:p w14:paraId="25CD7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各级财政、应急、公安、消防、综合执法等部门按照各自职责协助、支持各部门做好危险房屋管理相关工作。</w:t>
      </w:r>
    </w:p>
    <w:p w14:paraId="75029D6B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鉴定</w:t>
      </w:r>
    </w:p>
    <w:p w14:paraId="0A51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第九条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房屋安全鉴定机构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负责房屋安全鉴定，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其它任何单位或个人不得擅自从事房屋安全鉴定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。房屋安全鉴定由房屋所有人或使用人向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房屋安全鉴定机构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申请。</w:t>
      </w:r>
    </w:p>
    <w:p w14:paraId="0BB0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下列单位或个人，作为房屋安全鉴定申请人（以下简称申请人）：</w:t>
      </w:r>
    </w:p>
    <w:p w14:paraId="1912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（一）房屋所有人、使用人；</w:t>
      </w:r>
    </w:p>
    <w:p w14:paraId="47CA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（二）受理涉及危险房屋纠纷案件的仲裁或审判机关，可指定纠纷案件的当事人申请房屋安全鉴定；必要时，亦可直接提出房屋安全鉴定的要求。</w:t>
      </w:r>
    </w:p>
    <w:p w14:paraId="572D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第十一条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任何单位及个人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发现有危险状况的房屋，应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向所在地街道（乡镇）反映，街道（乡镇）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立即书面通知房屋所有人申请房屋安全鉴定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。属于非住宅类房屋的，街道（乡镇）还应通知房屋所属行业主管部门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906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第十二条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鉴定危险房屋执行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部颁《危险房屋鉴定标准》。对工业建筑、公共建筑、高层建筑及文物保护建筑等的鉴定，还应参照有关专业技术标准、规范和规程进行。</w:t>
      </w:r>
    </w:p>
    <w:p w14:paraId="1726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第十三条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被鉴定为危险房屋的，按下列规定处理：</w:t>
      </w:r>
    </w:p>
    <w:p w14:paraId="3128A4A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（一）观察使用。适用于采取适当安全技术措施后，尚能短期使用，但需继续观察的房屋。</w:t>
      </w:r>
    </w:p>
    <w:p w14:paraId="38398F1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（二）处理使用。适用于采取适当技术措施后，可解除危险的房屋。</w:t>
      </w:r>
    </w:p>
    <w:p w14:paraId="4878BD9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（三）停止使用。适用于已无修缮价值，暂时不便拆除，又不危及相邻建筑和影响他人安全的房屋。</w:t>
      </w:r>
    </w:p>
    <w:p w14:paraId="3BA0145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（四）整体拆除。适用于整幢危险且无修缮价值，需立即拆除的房屋。</w:t>
      </w:r>
    </w:p>
    <w:p w14:paraId="065E6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第十四条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经鉴定机构鉴定为危险房屋的，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鉴定机构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向申请人及属地危险房屋管理部门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发出危险房屋通知书；鉴定为非危险房屋的，应在鉴定文书上注明房屋完损等级和在正常条件下使用的有效期限。</w:t>
      </w:r>
    </w:p>
    <w:p w14:paraId="79C7B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第十五条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经鉴定属危险房屋的，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鉴定费用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由房屋所有人或责任人承担；经鉴定属非危险房屋的，鉴定费由申请人承担。</w:t>
      </w:r>
    </w:p>
    <w:p w14:paraId="735F97DF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治理</w:t>
      </w:r>
    </w:p>
    <w:p w14:paraId="2828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第十六条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房屋所有人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或使用人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应经常对其房屋进行安全检查，及时进行排险解危治理。在灾害天气多发季节前后，应对危险房屋进行重点治理，确保人身、财产安全。</w:t>
      </w:r>
    </w:p>
    <w:p w14:paraId="2E53C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对暂不能排险解危的危险房屋，应设立明显标志。</w:t>
      </w:r>
    </w:p>
    <w:p w14:paraId="67F1A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第十七条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被鉴定为危险房屋的，房屋所有人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或使用人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必须按照鉴定书的处理意见及时治理，在未解危治理之前，不得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98E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住宅类危险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所有人或使用人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不履行隐患治理义务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街道办事处应再次督促房屋安全责任人限期改正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仍未按规定或者鉴定报告意见采取措施的，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属地政府应组织相关部门采取必要措施，确保居民人身、财产安全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非住宅类危险房屋由所属行业管理部门负责督促治理。</w:t>
      </w:r>
    </w:p>
    <w:p w14:paraId="1EAF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第十八条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房屋所有人治理危险房屋，需承租人临时迁出的，承租人应及时迁出。危险房屋经治理解除危险后，应继续履行原租赁协议。租赁双方另有约定的除外。</w:t>
      </w:r>
    </w:p>
    <w:p w14:paraId="6120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第十九条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异产毗连房屋经鉴定属危险房屋的，各所有人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或使用人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对共有、共用部位及附属建筑应共同治理，所需费用由各所有人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共同承担，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拒不承担责任的，由房屋所在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地危险房屋行政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主管部门调处；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涉及改建、重建建筑物及其附属设施的，按照《民法典》相关规定，由业主通过表决共同决定，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当事人不服的，可向当地人民法院起诉。</w:t>
      </w:r>
    </w:p>
    <w:p w14:paraId="17BE2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房屋所有人对危房进行抢险解危需办理有关手续时，有关部门应予以及时办理。需拆除就地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翻建的，应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根据所在地实际情况，给予相应优惠政策支持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。法律、法规另有规定的，从其规定。</w:t>
      </w:r>
    </w:p>
    <w:p w14:paraId="118723CA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法律责任</w:t>
      </w:r>
    </w:p>
    <w:p w14:paraId="0F86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第二十一条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擅自从事房屋安全鉴定的，其出具鉴定结论无效，由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危险房屋行政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部门没收非法所得，并处非法所得额5倍以下罚款。</w:t>
      </w:r>
    </w:p>
    <w:p w14:paraId="3321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第二十二条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拒绝、阻挠鉴定机构进行鉴定的，由公安机关依照《中华人民共和国治安管理处罚法》的规定，予以处罚。</w:t>
      </w:r>
    </w:p>
    <w:p w14:paraId="5FFF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第二十三条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房屋安全鉴定人员有下列行为之一的，依法给予处分，构成犯罪的，依法追究刑事责任：</w:t>
      </w:r>
    </w:p>
    <w:p w14:paraId="232D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（一）故意将非危险房屋鉴定为危险房屋而造成财产损失的；</w:t>
      </w:r>
    </w:p>
    <w:p w14:paraId="10C2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（二）过失将危险房屋鉴定为非危险房屋，在有效期限内发生事故的；</w:t>
      </w:r>
    </w:p>
    <w:p w14:paraId="01A5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（三）因拖延鉴定时间而发生事故的。</w:t>
      </w:r>
    </w:p>
    <w:p w14:paraId="048300A6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附则</w:t>
      </w:r>
    </w:p>
    <w:p w14:paraId="6BF1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各县（市、区）应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建立危险房屋管理工作体系，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完善危险房屋的档案管理制度和危险房屋治理的监督检查制度，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对危险房屋的排查、鉴定、治理等重点环节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制定出台具体工作细则，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指导督促房屋所有人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做好房屋日常管理和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危险房屋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B7E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本办法自发布之日起施行。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37AC7"/>
    <w:rsid w:val="1D9FC348"/>
    <w:rsid w:val="3C5328CB"/>
    <w:rsid w:val="3EAB0813"/>
    <w:rsid w:val="499B15A0"/>
    <w:rsid w:val="4EFF222F"/>
    <w:rsid w:val="5F7B5A64"/>
    <w:rsid w:val="730613D9"/>
    <w:rsid w:val="74BDB4C0"/>
    <w:rsid w:val="78D6426A"/>
    <w:rsid w:val="7BE91B23"/>
    <w:rsid w:val="7EA22924"/>
    <w:rsid w:val="7FDFDAEE"/>
    <w:rsid w:val="7FFBFCCE"/>
    <w:rsid w:val="7FFFB274"/>
    <w:rsid w:val="A7AA8C25"/>
    <w:rsid w:val="B0FFF68B"/>
    <w:rsid w:val="BAFF9794"/>
    <w:rsid w:val="C7F5154A"/>
    <w:rsid w:val="EEFDD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2313</Words>
  <Characters>2313</Characters>
  <Lines>0</Lines>
  <Paragraphs>0</Paragraphs>
  <TotalTime>78</TotalTime>
  <ScaleCrop>false</ScaleCrop>
  <LinksUpToDate>false</LinksUpToDate>
  <CharactersWithSpaces>2348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姜锴</cp:lastModifiedBy>
  <cp:lastPrinted>2025-01-22T10:14:51Z</cp:lastPrinted>
  <dcterms:modified xsi:type="dcterms:W3CDTF">2025-02-26T07:20:04Z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eyJoZGlkIjoiNDA3MDY2ZDk4NjU1MGQ3NmUzYTUwZTQyNzFiZTdmNGIiLCJ1c2VySWQiOiIyMzQwNzg5NDYifQ==</vt:lpwstr>
  </property>
  <property fmtid="{D5CDD505-2E9C-101B-9397-08002B2CF9AE}" pid="4" name="ICV">
    <vt:lpwstr>E073234206AB4A88A95FE45DA1441A63_13</vt:lpwstr>
  </property>
</Properties>
</file>