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hAnsi="黑体" w:eastAsia="黑体"/>
          <w:b/>
          <w:sz w:val="32"/>
          <w:szCs w:val="32"/>
        </w:rPr>
      </w:pPr>
      <w:r>
        <w:rPr>
          <w:rFonts w:hint="eastAsia" w:ascii="黑体" w:hAnsi="黑体" w:eastAsia="黑体"/>
          <w:sz w:val="32"/>
          <w:szCs w:val="32"/>
        </w:rPr>
        <w:t>省道石通线七道江至通化（公路与铁路平交道口改造）项目施工招标</w:t>
      </w:r>
    </w:p>
    <w:p>
      <w:pPr>
        <w:jc w:val="center"/>
        <w:rPr>
          <w:b/>
          <w:sz w:val="28"/>
          <w:szCs w:val="28"/>
        </w:rPr>
      </w:pPr>
      <w:r>
        <w:rPr>
          <w:rFonts w:hint="eastAsia"/>
          <w:b/>
          <w:sz w:val="28"/>
          <w:szCs w:val="28"/>
        </w:rPr>
        <w:t>招标文件关键内容信息公开</w:t>
      </w:r>
    </w:p>
    <w:p>
      <w:pPr>
        <w:pStyle w:val="15"/>
        <w:tabs>
          <w:tab w:val="left" w:pos="426"/>
        </w:tabs>
        <w:spacing w:line="276" w:lineRule="auto"/>
        <w:jc w:val="left"/>
        <w:outlineLvl w:val="2"/>
        <w:rPr>
          <w:rFonts w:ascii="黑体" w:hAnsi="黑体" w:eastAsia="黑体"/>
          <w:b w:val="0"/>
        </w:rPr>
      </w:pPr>
      <w:bookmarkStart w:id="0" w:name="_Toc19608019"/>
      <w:bookmarkStart w:id="1" w:name="_Toc7354"/>
      <w:bookmarkStart w:id="2" w:name="_Toc836"/>
      <w:bookmarkStart w:id="3" w:name="_Toc21873"/>
      <w:r>
        <w:rPr>
          <w:rFonts w:hint="eastAsia" w:ascii="黑体" w:hAnsi="黑体" w:eastAsia="黑体"/>
          <w:b w:val="0"/>
        </w:rPr>
        <w:t>1.招标条件</w:t>
      </w:r>
      <w:bookmarkEnd w:id="0"/>
    </w:p>
    <w:p>
      <w:pPr>
        <w:widowControl/>
        <w:spacing w:line="276" w:lineRule="auto"/>
        <w:ind w:firstLine="420" w:firstLineChars="200"/>
        <w:jc w:val="left"/>
        <w:rPr>
          <w:rFonts w:hint="eastAsia"/>
          <w:szCs w:val="21"/>
        </w:rPr>
      </w:pPr>
      <w:bookmarkStart w:id="4" w:name="_Toc483222544"/>
      <w:bookmarkStart w:id="5" w:name="_Toc508718206"/>
      <w:r>
        <w:rPr>
          <w:rFonts w:hint="eastAsia" w:ascii="宋体" w:hAnsi="宋体"/>
          <w:szCs w:val="21"/>
        </w:rPr>
        <w:t>本招标项目省道石通线七道江至通化（公路与铁路平交道口改造）项目已由</w:t>
      </w:r>
      <w:r>
        <w:rPr>
          <w:rFonts w:hint="eastAsia" w:ascii="黑体" w:hAnsi="黑体" w:eastAsia="黑体"/>
          <w:b/>
        </w:rPr>
        <w:t>吉林省发展和改革委员会以《吉林省发展改革委关</w:t>
      </w:r>
      <w:r>
        <w:rPr>
          <w:rFonts w:hint="eastAsia" w:ascii="黑体" w:hAnsi="黑体" w:eastAsia="黑体" w:cs="宋体"/>
          <w:b/>
        </w:rPr>
        <w:t>于省道石通线七道江至通化（公路与铁路平交道口改造）项目可行性研究报告的批复》（吉</w:t>
      </w:r>
      <w:r>
        <w:rPr>
          <w:rFonts w:hint="eastAsia" w:ascii="黑体" w:hAnsi="黑体" w:eastAsia="黑体"/>
          <w:b/>
        </w:rPr>
        <w:t>发改审批</w:t>
      </w:r>
      <w:r>
        <w:rPr>
          <w:rFonts w:ascii="黑体" w:hAnsi="黑体" w:eastAsia="黑体"/>
          <w:b/>
        </w:rPr>
        <w:t>[20</w:t>
      </w:r>
      <w:r>
        <w:rPr>
          <w:rFonts w:hint="eastAsia" w:ascii="黑体" w:hAnsi="黑体" w:eastAsia="黑体"/>
          <w:b/>
        </w:rPr>
        <w:t>18</w:t>
      </w:r>
      <w:r>
        <w:rPr>
          <w:rFonts w:ascii="黑体" w:hAnsi="黑体" w:eastAsia="黑体"/>
          <w:b/>
        </w:rPr>
        <w:t>]240</w:t>
      </w:r>
      <w:r>
        <w:rPr>
          <w:rFonts w:hint="eastAsia" w:ascii="黑体" w:hAnsi="黑体" w:eastAsia="黑体"/>
          <w:b/>
        </w:rPr>
        <w:t>号）文件批准建设</w:t>
      </w:r>
      <w:r>
        <w:rPr>
          <w:rFonts w:hint="eastAsia" w:ascii="黑体" w:hAnsi="黑体" w:eastAsia="黑体" w:cs="宋体"/>
          <w:b/>
        </w:rPr>
        <w:t>，施工图设计已由吉林省交通运输厅以关于《省道石通线七道江至通化（公路与铁路平交道口改造）项目一阶段施工图设计及预算》的批复（吉交审批函</w:t>
      </w:r>
      <w:r>
        <w:rPr>
          <w:rFonts w:ascii="黑体" w:hAnsi="黑体" w:eastAsia="黑体" w:cs="宋体"/>
          <w:b/>
        </w:rPr>
        <w:t>[20</w:t>
      </w:r>
      <w:r>
        <w:rPr>
          <w:rFonts w:hint="eastAsia" w:ascii="黑体" w:hAnsi="黑体" w:eastAsia="黑体" w:cs="宋体"/>
          <w:b/>
        </w:rPr>
        <w:t>19</w:t>
      </w:r>
      <w:r>
        <w:rPr>
          <w:rFonts w:ascii="黑体" w:hAnsi="黑体" w:eastAsia="黑体" w:cs="宋体"/>
          <w:b/>
        </w:rPr>
        <w:t>]</w:t>
      </w:r>
      <w:r>
        <w:rPr>
          <w:rFonts w:hint="eastAsia" w:ascii="黑体" w:hAnsi="黑体" w:eastAsia="黑体" w:cs="宋体"/>
          <w:b/>
        </w:rPr>
        <w:t>4）号文件批准，</w:t>
      </w:r>
      <w:r>
        <w:rPr>
          <w:rFonts w:hint="eastAsia" w:ascii="宋体" w:hAnsi="宋体"/>
          <w:szCs w:val="21"/>
        </w:rPr>
        <w:t>招标人为</w:t>
      </w:r>
      <w:r>
        <w:rPr>
          <w:rFonts w:hint="eastAsia" w:ascii="黑体" w:hAnsi="黑体" w:eastAsia="黑体"/>
          <w:b/>
          <w:szCs w:val="21"/>
        </w:rPr>
        <w:t>白山市交通运输开发投资有限公司</w:t>
      </w:r>
      <w:r>
        <w:rPr>
          <w:rFonts w:hint="eastAsia" w:ascii="宋体" w:hAnsi="宋体"/>
          <w:szCs w:val="21"/>
        </w:rPr>
        <w:t>，资金来源</w:t>
      </w:r>
      <w:r>
        <w:rPr>
          <w:rFonts w:hint="eastAsia"/>
          <w:b/>
          <w:szCs w:val="21"/>
          <w:lang w:val="zh-CN"/>
        </w:rPr>
        <w:t>为</w:t>
      </w:r>
      <w:r>
        <w:rPr>
          <w:rFonts w:hint="eastAsia"/>
          <w:b/>
          <w:szCs w:val="21"/>
        </w:rPr>
        <w:t>省补、沈阳铁路局及</w:t>
      </w:r>
      <w:r>
        <w:rPr>
          <w:rFonts w:hint="eastAsia"/>
          <w:b/>
          <w:szCs w:val="21"/>
          <w:lang w:val="zh-CN"/>
        </w:rPr>
        <w:t>地方自筹</w:t>
      </w:r>
      <w:r>
        <w:rPr>
          <w:rFonts w:hint="eastAsia" w:ascii="宋体" w:hAnsi="宋体"/>
          <w:szCs w:val="21"/>
        </w:rPr>
        <w:t>，项目已具备招标条件，</w:t>
      </w:r>
      <w:r>
        <w:rPr>
          <w:rFonts w:hint="eastAsia"/>
          <w:szCs w:val="21"/>
        </w:rPr>
        <w:t>现对该项目采用资格后审方式进行公开招标。</w:t>
      </w:r>
    </w:p>
    <w:p>
      <w:pPr>
        <w:pStyle w:val="15"/>
        <w:tabs>
          <w:tab w:val="left" w:pos="426"/>
        </w:tabs>
        <w:spacing w:line="276" w:lineRule="auto"/>
        <w:jc w:val="left"/>
        <w:outlineLvl w:val="2"/>
        <w:rPr>
          <w:rFonts w:ascii="黑体" w:hAnsi="黑体" w:eastAsia="黑体"/>
          <w:b w:val="0"/>
        </w:rPr>
      </w:pPr>
      <w:bookmarkStart w:id="6" w:name="_Toc9111"/>
      <w:bookmarkStart w:id="7" w:name="_Toc19608020"/>
      <w:r>
        <w:rPr>
          <w:rFonts w:hint="eastAsia" w:ascii="黑体" w:hAnsi="黑体" w:eastAsia="黑体"/>
          <w:b w:val="0"/>
        </w:rPr>
        <w:t>2.项目概况与招标范围</w:t>
      </w:r>
      <w:bookmarkEnd w:id="4"/>
      <w:bookmarkEnd w:id="5"/>
      <w:bookmarkEnd w:id="6"/>
      <w:bookmarkEnd w:id="7"/>
    </w:p>
    <w:p>
      <w:pPr>
        <w:tabs>
          <w:tab w:val="left" w:pos="540"/>
        </w:tabs>
        <w:spacing w:line="276" w:lineRule="auto"/>
        <w:ind w:firstLine="422" w:firstLineChars="200"/>
        <w:rPr>
          <w:b/>
          <w:kern w:val="0"/>
          <w:szCs w:val="21"/>
          <w:lang w:val="zh-CN"/>
        </w:rPr>
      </w:pPr>
      <w:bookmarkStart w:id="8" w:name="_Toc257655328"/>
      <w:bookmarkStart w:id="9" w:name="_Toc361838104"/>
      <w:bookmarkStart w:id="10" w:name="_Toc356741790"/>
      <w:r>
        <w:rPr>
          <w:b/>
          <w:kern w:val="0"/>
          <w:szCs w:val="21"/>
          <w:lang w:val="zh-CN"/>
        </w:rPr>
        <w:t>2.1</w:t>
      </w:r>
      <w:r>
        <w:rPr>
          <w:rFonts w:hint="eastAsia"/>
          <w:b/>
          <w:kern w:val="0"/>
          <w:szCs w:val="21"/>
          <w:lang w:val="zh-CN"/>
        </w:rPr>
        <w:t>项目概况</w:t>
      </w:r>
    </w:p>
    <w:p>
      <w:pPr>
        <w:tabs>
          <w:tab w:val="left" w:pos="540"/>
        </w:tabs>
        <w:spacing w:line="276" w:lineRule="auto"/>
        <w:ind w:firstLine="420" w:firstLineChars="200"/>
        <w:rPr>
          <w:rFonts w:hint="eastAsia" w:ascii="宋体" w:hAnsi="宋体"/>
          <w:szCs w:val="21"/>
        </w:rPr>
      </w:pPr>
      <w:bookmarkStart w:id="11" w:name="_Toc508718207"/>
      <w:bookmarkStart w:id="12" w:name="_Toc483222545"/>
      <w:r>
        <w:rPr>
          <w:rFonts w:hint="eastAsia" w:ascii="宋体" w:hAnsi="宋体"/>
          <w:szCs w:val="21"/>
        </w:rPr>
        <w:t>本次招标项目</w:t>
      </w:r>
      <w:r>
        <w:rPr>
          <w:rFonts w:hint="eastAsia"/>
          <w:b/>
          <w:szCs w:val="21"/>
        </w:rPr>
        <w:t>施工招标</w:t>
      </w:r>
      <w:r>
        <w:rPr>
          <w:rFonts w:hint="eastAsia" w:ascii="宋体" w:hAnsi="宋体"/>
          <w:szCs w:val="21"/>
        </w:rPr>
        <w:t>划分为</w:t>
      </w:r>
      <w:r>
        <w:rPr>
          <w:rFonts w:ascii="宋体" w:hAnsi="宋体"/>
          <w:szCs w:val="21"/>
        </w:rPr>
        <w:t>1</w:t>
      </w:r>
      <w:r>
        <w:rPr>
          <w:rFonts w:hint="eastAsia" w:ascii="宋体" w:hAnsi="宋体"/>
          <w:szCs w:val="21"/>
        </w:rPr>
        <w:t>个标段，即</w:t>
      </w:r>
      <w:r>
        <w:rPr>
          <w:rFonts w:ascii="宋体" w:hAnsi="宋体"/>
          <w:szCs w:val="21"/>
        </w:rPr>
        <w:t>01</w:t>
      </w:r>
      <w:r>
        <w:rPr>
          <w:rFonts w:hint="eastAsia" w:ascii="宋体" w:hAnsi="宋体"/>
          <w:szCs w:val="21"/>
        </w:rPr>
        <w:t>标段。</w:t>
      </w:r>
    </w:p>
    <w:p>
      <w:pPr>
        <w:tabs>
          <w:tab w:val="left" w:pos="540"/>
        </w:tabs>
        <w:spacing w:line="276" w:lineRule="auto"/>
        <w:ind w:firstLine="420" w:firstLineChars="200"/>
        <w:rPr>
          <w:rFonts w:ascii="宋体" w:hAnsi="宋体"/>
          <w:szCs w:val="21"/>
        </w:rPr>
      </w:pPr>
      <w:r>
        <w:rPr>
          <w:rFonts w:hint="eastAsia" w:ascii="宋体" w:hAnsi="宋体"/>
          <w:szCs w:val="21"/>
        </w:rPr>
        <w:t>本项目所经区域为白山市浑江区六道江镇，共三处铁路道口改造工程路线全长2.561公里，采用设计速度40km/h的双车道三级公路标准，路基宽8.5米，路面宽7米，沥青混凝土路面，桥梁、公铁分离采用60km/h的二级公路设计标准。全线路基土石方145.251千立方米，路面面积17.247千平方米，占地6.189公顷，新建小桥31米/座，新建涵洞3道，设置公铁分离立交3处，分别为纸板厂道口改造工程（全长0.891公里，跨度3×35m）、张家村道口改造工程（全长0.69公里，跨度3×25m）、六道江镇道口改造工程（全长0.98公里，跨度3×30m），设置平面交叉3处。</w:t>
      </w:r>
    </w:p>
    <w:p>
      <w:pPr>
        <w:tabs>
          <w:tab w:val="left" w:pos="540"/>
        </w:tabs>
        <w:spacing w:line="276" w:lineRule="auto"/>
        <w:ind w:firstLine="420" w:firstLineChars="200"/>
        <w:rPr>
          <w:rFonts w:ascii="宋体" w:hAnsi="宋体"/>
          <w:szCs w:val="21"/>
        </w:rPr>
      </w:pPr>
      <w:r>
        <w:rPr>
          <w:rFonts w:hint="eastAsia" w:ascii="宋体" w:hAnsi="宋体"/>
          <w:szCs w:val="21"/>
        </w:rPr>
        <w:t>2.2预计</w:t>
      </w:r>
      <w:r>
        <w:rPr>
          <w:rFonts w:hint="eastAsia" w:ascii="宋体" w:hAnsi="宋体"/>
        </w:rPr>
        <w:t>工期</w:t>
      </w:r>
      <w:r>
        <w:rPr>
          <w:rFonts w:hint="eastAsia" w:ascii="宋体" w:hAnsi="宋体"/>
          <w:b/>
        </w:rPr>
        <w:t>：</w:t>
      </w:r>
      <w:r>
        <w:rPr>
          <w:rFonts w:hint="eastAsia" w:ascii="宋体" w:hAnsi="宋体"/>
          <w:b/>
          <w:szCs w:val="21"/>
        </w:rPr>
        <w:t>2019年11月10日～2021年11月9日，731日历天。</w:t>
      </w:r>
    </w:p>
    <w:p>
      <w:pPr>
        <w:pStyle w:val="15"/>
        <w:tabs>
          <w:tab w:val="left" w:pos="426"/>
        </w:tabs>
        <w:spacing w:line="276" w:lineRule="auto"/>
        <w:jc w:val="left"/>
        <w:outlineLvl w:val="2"/>
        <w:rPr>
          <w:rFonts w:ascii="黑体" w:hAnsi="黑体" w:eastAsia="黑体"/>
          <w:b w:val="0"/>
        </w:rPr>
      </w:pPr>
      <w:bookmarkStart w:id="13" w:name="_Toc19608021"/>
      <w:bookmarkStart w:id="14" w:name="_Toc3666"/>
      <w:r>
        <w:rPr>
          <w:rFonts w:hint="eastAsia" w:ascii="黑体" w:hAnsi="黑体" w:eastAsia="黑体"/>
          <w:b w:val="0"/>
        </w:rPr>
        <w:t>3.投标人资格要求</w:t>
      </w:r>
      <w:bookmarkEnd w:id="8"/>
      <w:bookmarkEnd w:id="9"/>
      <w:bookmarkEnd w:id="10"/>
      <w:bookmarkEnd w:id="11"/>
      <w:bookmarkEnd w:id="12"/>
      <w:bookmarkEnd w:id="13"/>
      <w:bookmarkEnd w:id="14"/>
    </w:p>
    <w:p>
      <w:pPr>
        <w:pStyle w:val="6"/>
        <w:spacing w:line="276" w:lineRule="auto"/>
        <w:ind w:left="13" w:leftChars="6" w:right="-115" w:firstLine="422"/>
        <w:rPr>
          <w:rFonts w:hint="eastAsia" w:ascii="宋体" w:hAnsi="宋体"/>
          <w:b/>
          <w:szCs w:val="21"/>
        </w:rPr>
      </w:pPr>
      <w:r>
        <w:rPr>
          <w:rFonts w:ascii="宋体" w:hAnsi="宋体"/>
          <w:b/>
          <w:szCs w:val="21"/>
        </w:rPr>
        <w:t>3.1</w:t>
      </w:r>
      <w:r>
        <w:rPr>
          <w:rFonts w:hint="eastAsia" w:ascii="宋体" w:hAnsi="宋体"/>
          <w:b/>
          <w:szCs w:val="21"/>
        </w:rPr>
        <w:t>本次招标要求潜在投标人应具有独立法人资格，持有工商行政管理部门核发的企业法人营业执照，</w:t>
      </w:r>
      <w:r>
        <w:rPr>
          <w:rFonts w:hint="eastAsia" w:ascii="宋体" w:hAnsi="宋体"/>
          <w:b/>
          <w:bCs/>
          <w:szCs w:val="21"/>
        </w:rPr>
        <w:t>并依法取得安全生产许可证</w:t>
      </w:r>
      <w:r>
        <w:rPr>
          <w:rFonts w:hint="eastAsia" w:ascii="宋体" w:hAnsi="宋体"/>
          <w:b/>
          <w:szCs w:val="21"/>
        </w:rPr>
        <w:t>，同时满足以下资质和业绩要求，并在人员、设备、资金等方面具备相应的施工能力。</w:t>
      </w:r>
    </w:p>
    <w:p>
      <w:pPr>
        <w:pStyle w:val="6"/>
        <w:spacing w:line="276" w:lineRule="auto"/>
        <w:ind w:left="13" w:leftChars="6" w:right="-115" w:firstLine="422"/>
        <w:rPr>
          <w:rFonts w:hint="eastAsia" w:ascii="宋体" w:hAnsi="宋体"/>
          <w:b/>
          <w:bCs/>
          <w:szCs w:val="21"/>
        </w:rPr>
      </w:pPr>
      <w:r>
        <w:rPr>
          <w:rFonts w:hint="eastAsia" w:ascii="宋体" w:hAnsi="宋体"/>
          <w:b/>
          <w:bCs/>
          <w:szCs w:val="21"/>
        </w:rPr>
        <w:t>3.1.1资质要求：</w:t>
      </w:r>
      <w:r>
        <w:rPr>
          <w:rFonts w:hint="eastAsia" w:ascii="宋体" w:hAnsi="宋体"/>
          <w:b/>
          <w:szCs w:val="21"/>
        </w:rPr>
        <w:t>具备建设行政主管部门颁发的公路工程施工总承包三级以上（含）资质</w:t>
      </w:r>
      <w:r>
        <w:rPr>
          <w:rFonts w:hint="eastAsia" w:ascii="宋体" w:hAnsi="宋体"/>
          <w:b/>
          <w:bCs/>
          <w:szCs w:val="21"/>
        </w:rPr>
        <w:t>和铁路工程施工总承包一级以上（含）资质。</w:t>
      </w:r>
    </w:p>
    <w:p>
      <w:pPr>
        <w:pStyle w:val="6"/>
        <w:spacing w:line="276" w:lineRule="auto"/>
        <w:ind w:left="13" w:leftChars="6" w:right="-115" w:firstLine="422"/>
        <w:rPr>
          <w:rFonts w:hint="eastAsia" w:ascii="宋体" w:hAnsi="宋体"/>
          <w:b/>
          <w:bCs/>
          <w:szCs w:val="21"/>
        </w:rPr>
      </w:pPr>
      <w:r>
        <w:rPr>
          <w:rFonts w:hint="eastAsia" w:ascii="宋体" w:hAnsi="宋体"/>
          <w:b/>
          <w:bCs/>
          <w:szCs w:val="21"/>
        </w:rPr>
        <w:t>3.1.2业绩要求：近5年内至少完成过1座公路工程大桥施工业绩。</w:t>
      </w:r>
    </w:p>
    <w:p>
      <w:pPr>
        <w:pStyle w:val="6"/>
        <w:spacing w:line="276" w:lineRule="auto"/>
        <w:ind w:left="13" w:leftChars="6" w:right="-115" w:firstLine="422"/>
        <w:rPr>
          <w:rFonts w:hint="eastAsia" w:hAnsi="宋体"/>
          <w:szCs w:val="21"/>
        </w:rPr>
      </w:pPr>
      <w:r>
        <w:rPr>
          <w:rFonts w:hint="eastAsia" w:ascii="宋体" w:hAnsi="宋体"/>
          <w:b/>
          <w:bCs/>
          <w:szCs w:val="21"/>
        </w:rPr>
        <w:t>业绩要求中近5年指</w:t>
      </w:r>
      <w:r>
        <w:rPr>
          <w:rFonts w:ascii="宋体" w:hAnsi="宋体"/>
          <w:b/>
          <w:bCs/>
          <w:szCs w:val="21"/>
        </w:rPr>
        <w:t>201</w:t>
      </w:r>
      <w:r>
        <w:rPr>
          <w:rFonts w:hint="eastAsia" w:ascii="宋体" w:hAnsi="宋体"/>
          <w:b/>
          <w:bCs/>
          <w:szCs w:val="21"/>
        </w:rPr>
        <w:t>4</w:t>
      </w:r>
      <w:r>
        <w:rPr>
          <w:rFonts w:ascii="宋体" w:hAnsi="宋体"/>
          <w:b/>
          <w:bCs/>
          <w:szCs w:val="21"/>
        </w:rPr>
        <w:t>年</w:t>
      </w:r>
      <w:r>
        <w:rPr>
          <w:rFonts w:hint="eastAsia" w:ascii="宋体" w:hAnsi="宋体"/>
          <w:b/>
          <w:bCs/>
          <w:szCs w:val="21"/>
        </w:rPr>
        <w:t>1</w:t>
      </w:r>
      <w:r>
        <w:rPr>
          <w:rFonts w:ascii="宋体" w:hAnsi="宋体"/>
          <w:b/>
          <w:bCs/>
          <w:szCs w:val="21"/>
        </w:rPr>
        <w:t>月1日之后交工的工程</w:t>
      </w:r>
      <w:r>
        <w:rPr>
          <w:rFonts w:hint="eastAsia" w:ascii="宋体" w:hAnsi="宋体"/>
          <w:b/>
          <w:bCs/>
          <w:szCs w:val="21"/>
        </w:rPr>
        <w:t>，项目性质应属改建、扩建或新建类，养护工程、国外工程不能作为本次招标的企业工程业绩。一级公路或高速公路工程全幅按2倍计算，半幅按1倍计算。</w:t>
      </w:r>
    </w:p>
    <w:p>
      <w:pPr>
        <w:pStyle w:val="6"/>
        <w:spacing w:line="340" w:lineRule="exact"/>
        <w:ind w:left="27" w:leftChars="13" w:firstLine="434" w:firstLineChars="206"/>
        <w:rPr>
          <w:rFonts w:hint="eastAsia" w:hAnsi="宋体"/>
          <w:b/>
          <w:bCs/>
          <w:szCs w:val="21"/>
        </w:rPr>
      </w:pPr>
      <w:r>
        <w:rPr>
          <w:rFonts w:hint="eastAsia" w:ascii="宋体" w:hAnsi="宋体"/>
          <w:b/>
          <w:szCs w:val="21"/>
        </w:rPr>
        <w:t>3.2具备建设行政主管部门颁发的公路工程施工总承包一级或特级资质的</w:t>
      </w:r>
      <w:r>
        <w:rPr>
          <w:rFonts w:hAnsi="宋体"/>
          <w:b/>
          <w:bCs/>
          <w:szCs w:val="21"/>
        </w:rPr>
        <w:t>投标人应进入交通运输部 “ 全国公路建设市场信用信息管理系统（ht</w:t>
      </w:r>
      <w:r>
        <w:rPr>
          <w:rFonts w:hint="eastAsia" w:hAnsi="宋体"/>
          <w:b/>
          <w:bCs/>
          <w:szCs w:val="21"/>
        </w:rPr>
        <w:t>tp:</w:t>
      </w:r>
      <w:r>
        <w:rPr>
          <w:rFonts w:hAnsi="宋体"/>
          <w:b/>
          <w:bCs/>
          <w:szCs w:val="21"/>
        </w:rPr>
        <w:t xml:space="preserve"> IIglxy.mot.gov.</w:t>
      </w:r>
      <w:r>
        <w:rPr>
          <w:rFonts w:hint="eastAsia" w:hAnsi="宋体"/>
          <w:b/>
          <w:bCs/>
          <w:szCs w:val="21"/>
        </w:rPr>
        <w:t>c</w:t>
      </w:r>
      <w:r>
        <w:rPr>
          <w:rFonts w:hAnsi="宋体"/>
          <w:b/>
          <w:bCs/>
          <w:szCs w:val="21"/>
        </w:rPr>
        <w:t>n ）”中的公路工程施工资质企业名录，且投标人名称和资质与该名录中的相应企业名称和资质完全一致。</w:t>
      </w:r>
    </w:p>
    <w:p>
      <w:pPr>
        <w:widowControl/>
        <w:shd w:val="clear" w:color="auto" w:fill="FFFFFF"/>
        <w:spacing w:line="323" w:lineRule="atLeast"/>
        <w:ind w:firstLine="422" w:firstLineChars="200"/>
        <w:rPr>
          <w:rFonts w:hAnsi="宋体"/>
          <w:b/>
          <w:bCs/>
          <w:szCs w:val="21"/>
        </w:rPr>
      </w:pPr>
      <w:r>
        <w:rPr>
          <w:rFonts w:hint="eastAsia" w:ascii="宋体" w:hAnsi="宋体"/>
          <w:b/>
          <w:szCs w:val="21"/>
        </w:rPr>
        <w:t>3.3①</w:t>
      </w:r>
      <w:r>
        <w:rPr>
          <w:rFonts w:hAnsi="宋体"/>
          <w:b/>
          <w:bCs/>
          <w:szCs w:val="21"/>
        </w:rPr>
        <w:t>投标人</w:t>
      </w:r>
      <w:r>
        <w:rPr>
          <w:rFonts w:hint="eastAsia" w:ascii="宋体" w:hAnsi="宋体"/>
          <w:b/>
          <w:szCs w:val="21"/>
        </w:rPr>
        <w:t>企业</w:t>
      </w:r>
      <w:r>
        <w:rPr>
          <w:rFonts w:hint="eastAsia" w:hAnsi="宋体"/>
          <w:b/>
          <w:bCs/>
          <w:szCs w:val="21"/>
        </w:rPr>
        <w:t>施工业绩和项目经理、项目总工的任职业绩应在交通运输部“全国公路建设市场信用信息管理系统”</w:t>
      </w:r>
      <w:r>
        <w:rPr>
          <w:rFonts w:hAnsi="宋体"/>
          <w:b/>
          <w:bCs/>
          <w:szCs w:val="21"/>
        </w:rPr>
        <w:t>(http://glxy.mot.gov.cn/BM/)</w:t>
      </w:r>
      <w:r>
        <w:rPr>
          <w:rFonts w:hint="eastAsia" w:hAnsi="宋体"/>
          <w:b/>
          <w:bCs/>
          <w:szCs w:val="21"/>
        </w:rPr>
        <w:t>中已载明且通过省级交通运输主管部门审核的投标人的已建主包业绩查询并附网页截图。其中投标人企业施工业绩网页截图中应能明确查询到项目名称、公路等级、交工日期和业绩最低要求对应的各项工程内容信息；投标人项目经理、项目总工的任职业绩网页截图中应能够证明填报人员具有相应任职经历的业绩。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除网页截图复印件外，投标人无须再提供任何业绩证明材料。</w:t>
      </w:r>
    </w:p>
    <w:p>
      <w:pPr>
        <w:widowControl/>
        <w:shd w:val="clear" w:color="auto" w:fill="FFFFFF"/>
        <w:spacing w:line="323" w:lineRule="atLeast"/>
        <w:rPr>
          <w:rFonts w:hAnsi="宋体"/>
          <w:b/>
          <w:bCs/>
          <w:szCs w:val="21"/>
        </w:rPr>
      </w:pPr>
      <w:r>
        <w:rPr>
          <w:rFonts w:hAnsi="宋体"/>
          <w:b/>
          <w:bCs/>
          <w:szCs w:val="21"/>
        </w:rPr>
        <w:t>　　②评审时将按投标人提供的业绩网页截图进行必要的网上核实，并以核实后的信息为准。如网页截图中的信息不能查找出本次招标要求的工程信息，则视为未填报此项业绩，同时不接受除网页截图外的其他证明材料。如网页截图信息与实际情况不符，其后果由投标人自行负责，招标人将按《中华人民共和国招标投标法》第三十三条及《中华人民共和国招标投标法实施条例》第四十二条规定执行，并将相关行为上报交通行政主管部门按有关规定严肃处理。招标人不接受（吉林省除外）“全国公路建设市场信用信息管理系统”(http://glxy.mot.gov.cn/BM/)中通过审核的信息与实际不相符的投诉质疑。</w:t>
      </w:r>
    </w:p>
    <w:p>
      <w:pPr>
        <w:widowControl/>
        <w:shd w:val="clear" w:color="auto" w:fill="FFFFFF"/>
        <w:spacing w:line="323" w:lineRule="atLeast"/>
        <w:rPr>
          <w:rFonts w:hint="eastAsia" w:hAnsi="宋体"/>
          <w:b/>
          <w:bCs/>
          <w:szCs w:val="21"/>
        </w:rPr>
      </w:pPr>
      <w:r>
        <w:rPr>
          <w:rFonts w:hAnsi="宋体"/>
          <w:b/>
          <w:bCs/>
          <w:szCs w:val="21"/>
        </w:rPr>
        <w:t>　　投标人应认真阅读招标文件并按招标文件要求内容和格式填写，如投标文件中出现招标文件未要求内容属与本次投标无关的内容，不在评审范围内，不作为核实证明材料。</w:t>
      </w:r>
    </w:p>
    <w:p>
      <w:pPr>
        <w:widowControl/>
        <w:shd w:val="clear" w:color="auto" w:fill="FFFFFF"/>
        <w:spacing w:line="323" w:lineRule="atLeast"/>
        <w:ind w:firstLine="420"/>
        <w:rPr>
          <w:rFonts w:hint="eastAsia" w:hAnsi="宋体"/>
          <w:b/>
          <w:bCs/>
          <w:szCs w:val="21"/>
        </w:rPr>
      </w:pPr>
      <w:r>
        <w:rPr>
          <w:rFonts w:hint="eastAsia" w:ascii="宋体" w:hAnsi="宋体"/>
          <w:b/>
          <w:szCs w:val="21"/>
        </w:rPr>
        <w:t>3.4</w:t>
      </w:r>
      <w:r>
        <w:rPr>
          <w:rFonts w:hint="eastAsia" w:hAnsi="宋体"/>
          <w:b/>
          <w:bCs/>
          <w:szCs w:val="21"/>
        </w:rPr>
        <w:t>投标人</w:t>
      </w:r>
      <w:r>
        <w:rPr>
          <w:rFonts w:hAnsi="宋体"/>
          <w:b/>
          <w:bCs/>
          <w:szCs w:val="21"/>
        </w:rPr>
        <w:t>在投标文件中填报的相关人员的建造师注册证书（建造师临时执业证书）和安全生产考核合格证书评审时进行网上核查，并以核查后的信息为准。投标人填报的信息与网上核实信息不符的，其投标文件不能通过评审。</w:t>
      </w:r>
    </w:p>
    <w:p>
      <w:pPr>
        <w:tabs>
          <w:tab w:val="left" w:pos="540"/>
        </w:tabs>
        <w:spacing w:line="276" w:lineRule="auto"/>
        <w:ind w:firstLine="422" w:firstLineChars="200"/>
        <w:rPr>
          <w:rFonts w:ascii="宋体" w:hAnsi="宋体"/>
          <w:b/>
          <w:szCs w:val="21"/>
        </w:rPr>
      </w:pPr>
      <w:r>
        <w:rPr>
          <w:rFonts w:hint="eastAsia" w:ascii="宋体" w:hAnsi="宋体"/>
          <w:b/>
          <w:szCs w:val="21"/>
        </w:rPr>
        <w:t xml:space="preserve">3.5 </w:t>
      </w:r>
      <w:r>
        <w:rPr>
          <w:rFonts w:hint="eastAsia" w:hAnsi="宋体"/>
          <w:b/>
          <w:bCs/>
          <w:szCs w:val="21"/>
        </w:rPr>
        <w:t>本次招标接受联合体投标。联合体投标的，应满足下列要求：联合体成员数量不超过2家，</w:t>
      </w:r>
      <w:r>
        <w:rPr>
          <w:rFonts w:hAnsi="宋体"/>
          <w:b/>
          <w:bCs/>
          <w:szCs w:val="21"/>
        </w:rPr>
        <w:t>联合体牵头人至少应</w:t>
      </w:r>
      <w:r>
        <w:rPr>
          <w:rFonts w:hint="eastAsia" w:ascii="宋体" w:hAnsi="宋体"/>
          <w:b/>
          <w:szCs w:val="21"/>
        </w:rPr>
        <w:t>具备公路工程施工总承包三级以上（含）资质</w:t>
      </w:r>
      <w:r>
        <w:rPr>
          <w:rFonts w:hint="eastAsia" w:ascii="宋体" w:hAnsi="宋体"/>
          <w:b/>
          <w:bCs/>
          <w:szCs w:val="21"/>
        </w:rPr>
        <w:t>。</w:t>
      </w:r>
    </w:p>
    <w:p>
      <w:pPr>
        <w:ind w:firstLine="432" w:firstLineChars="206"/>
        <w:rPr>
          <w:rFonts w:ascii="宋体" w:hAnsi="宋体"/>
          <w:szCs w:val="21"/>
          <w:lang w:val="zh-CN"/>
        </w:rPr>
      </w:pPr>
      <w:r>
        <w:rPr>
          <w:rFonts w:hint="eastAsia" w:ascii="宋体" w:hAnsi="宋体"/>
          <w:szCs w:val="21"/>
          <w:lang w:val="zh-CN"/>
        </w:rPr>
        <w:t>3.</w:t>
      </w:r>
      <w:r>
        <w:rPr>
          <w:rFonts w:hint="eastAsia" w:ascii="宋体" w:hAnsi="宋体"/>
          <w:szCs w:val="21"/>
        </w:rPr>
        <w:t>6</w:t>
      </w:r>
      <w:r>
        <w:rPr>
          <w:rFonts w:hint="eastAsia" w:ascii="宋体" w:hAnsi="宋体"/>
          <w:szCs w:val="21"/>
          <w:lang w:val="zh-CN"/>
        </w:rPr>
        <w:t xml:space="preserve"> 与招标人存在利害关系可能影响招标公正性的单位，不得参加投标。单位负责人为同一人或者存在控股、管理关系的不同单位，不得参加同一标段投标，</w:t>
      </w:r>
      <w:r>
        <w:rPr>
          <w:rFonts w:hint="eastAsia" w:ascii="宋体" w:hAnsi="宋体"/>
          <w:b/>
          <w:szCs w:val="21"/>
          <w:lang w:val="zh-CN"/>
        </w:rPr>
        <w:t>否则，相关投标均无效</w:t>
      </w:r>
      <w:r>
        <w:rPr>
          <w:rFonts w:hint="eastAsia" w:ascii="宋体" w:hAnsi="宋体"/>
          <w:szCs w:val="21"/>
          <w:lang w:val="zh-CN"/>
        </w:rPr>
        <w:t>。</w:t>
      </w:r>
    </w:p>
    <w:p>
      <w:pPr>
        <w:ind w:firstLine="420" w:firstLineChars="200"/>
        <w:rPr>
          <w:rFonts w:ascii="宋体"/>
          <w:szCs w:val="21"/>
        </w:rPr>
      </w:pPr>
      <w:r>
        <w:rPr>
          <w:rFonts w:hint="eastAsia" w:ascii="宋体" w:hAnsi="宋体"/>
          <w:szCs w:val="21"/>
          <w:lang w:val="zh-CN"/>
        </w:rPr>
        <w:t>3.</w:t>
      </w:r>
      <w:r>
        <w:rPr>
          <w:rFonts w:hint="eastAsia" w:ascii="宋体" w:hAnsi="宋体"/>
          <w:szCs w:val="21"/>
        </w:rPr>
        <w:t>7</w:t>
      </w:r>
      <w:r>
        <w:rPr>
          <w:rFonts w:hint="eastAsia" w:ascii="宋体" w:hAnsi="宋体"/>
          <w:szCs w:val="21"/>
          <w:lang w:val="zh-CN"/>
        </w:rPr>
        <w:t>投</w:t>
      </w:r>
      <w:r>
        <w:rPr>
          <w:rFonts w:ascii="宋体" w:hAnsi="宋体"/>
          <w:szCs w:val="21"/>
          <w:lang w:val="zh-CN"/>
        </w:rPr>
        <w:t>标人</w:t>
      </w:r>
      <w:r>
        <w:rPr>
          <w:rFonts w:hint="eastAsia" w:ascii="宋体" w:hAnsi="宋体"/>
          <w:szCs w:val="21"/>
          <w:lang w:val="zh-CN"/>
        </w:rPr>
        <w:t>应</w:t>
      </w:r>
      <w:r>
        <w:rPr>
          <w:rFonts w:hint="eastAsia" w:ascii="宋体" w:hAnsi="宋体"/>
          <w:szCs w:val="21"/>
        </w:rPr>
        <w:t>对投标人单位和个人（指法定代表人、拟投入的项目经理）</w:t>
      </w:r>
      <w:r>
        <w:rPr>
          <w:rFonts w:ascii="宋体" w:hAnsi="宋体"/>
          <w:szCs w:val="21"/>
          <w:lang w:val="zh-CN"/>
        </w:rPr>
        <w:t>在</w:t>
      </w:r>
      <w:r>
        <w:rPr>
          <w:rFonts w:ascii="宋体" w:hAnsi="宋体"/>
          <w:b/>
          <w:szCs w:val="21"/>
          <w:lang w:val="zh-CN"/>
        </w:rPr>
        <w:t>中国裁判文书网</w:t>
      </w:r>
      <w:r>
        <w:rPr>
          <w:rFonts w:ascii="宋体" w:hAnsi="宋体"/>
          <w:b/>
          <w:szCs w:val="21"/>
        </w:rPr>
        <w:t>http://wenshu.court.gov.cn/</w:t>
      </w:r>
      <w:r>
        <w:rPr>
          <w:rFonts w:ascii="宋体" w:hAnsi="宋体"/>
          <w:szCs w:val="21"/>
          <w:lang w:val="zh-CN"/>
        </w:rPr>
        <w:t>自行查询行贿犯罪记录</w:t>
      </w:r>
      <w:r>
        <w:rPr>
          <w:rFonts w:hint="eastAsia" w:ascii="宋体" w:hAnsi="宋体"/>
          <w:szCs w:val="21"/>
        </w:rPr>
        <w:t>，</w:t>
      </w:r>
      <w:r>
        <w:rPr>
          <w:rFonts w:ascii="宋体" w:hAnsi="宋体"/>
          <w:szCs w:val="21"/>
          <w:lang w:val="zh-CN"/>
        </w:rPr>
        <w:t>并将网页截图复印件附在投标文件中</w:t>
      </w:r>
      <w:r>
        <w:rPr>
          <w:rFonts w:hint="eastAsia" w:ascii="宋体" w:hAnsi="宋体"/>
          <w:szCs w:val="21"/>
        </w:rPr>
        <w:t>，</w:t>
      </w:r>
      <w:r>
        <w:rPr>
          <w:rFonts w:ascii="宋体" w:hAnsi="宋体"/>
          <w:szCs w:val="21"/>
          <w:lang w:val="zh-CN"/>
        </w:rPr>
        <w:t>评审时将按投标人提供的网页截图进行必要的网上核实</w:t>
      </w:r>
      <w:r>
        <w:rPr>
          <w:rFonts w:hint="eastAsia" w:ascii="宋体" w:hAnsi="宋体"/>
          <w:szCs w:val="21"/>
        </w:rPr>
        <w:t>，</w:t>
      </w:r>
      <w:r>
        <w:rPr>
          <w:rFonts w:hint="eastAsia" w:ascii="宋体" w:hAnsi="宋体"/>
          <w:szCs w:val="21"/>
          <w:lang w:val="zh-CN"/>
        </w:rPr>
        <w:t>如</w:t>
      </w:r>
      <w:r>
        <w:rPr>
          <w:rFonts w:ascii="宋体" w:hAnsi="宋体"/>
          <w:szCs w:val="21"/>
          <w:lang w:val="zh-CN"/>
        </w:rPr>
        <w:t>有行贿犯罪行为的投标人或未按要求查询的均不能通过本项目的资格审查</w:t>
      </w:r>
      <w:r>
        <w:rPr>
          <w:rFonts w:hint="eastAsia" w:ascii="宋体" w:hAnsi="宋体"/>
          <w:szCs w:val="21"/>
          <w:lang w:val="zh-CN"/>
        </w:rPr>
        <w:t>。</w:t>
      </w:r>
    </w:p>
    <w:p>
      <w:pPr>
        <w:autoSpaceDE w:val="0"/>
        <w:autoSpaceDN w:val="0"/>
        <w:ind w:firstLine="420" w:firstLineChars="200"/>
        <w:rPr>
          <w:rFonts w:hint="eastAsia" w:ascii="宋体" w:hAnsi="宋体"/>
          <w:szCs w:val="21"/>
        </w:rPr>
      </w:pPr>
      <w:r>
        <w:rPr>
          <w:rFonts w:hint="eastAsia" w:ascii="宋体" w:hAnsi="宋体"/>
          <w:szCs w:val="21"/>
        </w:rPr>
        <w:t>3.8</w:t>
      </w:r>
      <w:r>
        <w:rPr>
          <w:rFonts w:ascii="宋体" w:hAnsi="宋体"/>
          <w:szCs w:val="21"/>
        </w:rPr>
        <w:t>在“信用中国”网站(http://www.creditchina.gov.cn/)中被列入失信被执行人名单的投标人，不得参加投标，否则，相关投标均无效。</w:t>
      </w:r>
    </w:p>
    <w:p>
      <w:pPr>
        <w:spacing w:line="400" w:lineRule="exact"/>
        <w:ind w:firstLine="420" w:firstLineChars="200"/>
        <w:rPr>
          <w:rFonts w:hint="eastAsia" w:ascii="宋体" w:hAnsi="宋体"/>
          <w:szCs w:val="21"/>
        </w:rPr>
      </w:pPr>
      <w:r>
        <w:rPr>
          <w:rFonts w:hint="eastAsia" w:ascii="宋体" w:hAnsi="宋体"/>
          <w:szCs w:val="21"/>
        </w:rPr>
        <w:t>3.9</w:t>
      </w:r>
      <w:r>
        <w:rPr>
          <w:rFonts w:ascii="宋体" w:hAnsi="宋体"/>
          <w:szCs w:val="21"/>
        </w:rPr>
        <w:t>项目建设过程中，承包人必须严格履行合同约定投入人员，不满足要求的将在奖罚中严厉惩处，并计入该企业信用评价。</w:t>
      </w:r>
    </w:p>
    <w:p>
      <w:pPr>
        <w:spacing w:line="400" w:lineRule="exact"/>
        <w:ind w:firstLine="420" w:firstLineChars="200"/>
        <w:rPr>
          <w:rFonts w:ascii="宋体" w:hAnsi="宋体"/>
          <w:szCs w:val="21"/>
        </w:rPr>
      </w:pPr>
      <w:r>
        <w:rPr>
          <w:rFonts w:hint="eastAsia" w:ascii="宋体" w:hAnsi="宋体"/>
          <w:szCs w:val="21"/>
        </w:rPr>
        <w:t>3.10</w:t>
      </w:r>
      <w:r>
        <w:rPr>
          <w:rFonts w:ascii="宋体" w:hAnsi="宋体"/>
          <w:szCs w:val="21"/>
        </w:rPr>
        <w:t>本项目严格执行《中华人民共和国招标投标法》及《中华人民共和国招标投标法实施条例》等国家相关法律法规，严厉打击围标、串标、借资质投标、违规分包、转包等违法行为，一经查实，按相关规定严肃处理，并纳入企业信用评价。</w:t>
      </w:r>
    </w:p>
    <w:p>
      <w:pPr>
        <w:spacing w:line="400" w:lineRule="exact"/>
        <w:ind w:firstLine="422" w:firstLineChars="200"/>
        <w:rPr>
          <w:rFonts w:ascii="宋体" w:hAnsi="宋体"/>
          <w:b/>
          <w:szCs w:val="21"/>
        </w:rPr>
      </w:pPr>
      <w:r>
        <w:rPr>
          <w:rFonts w:hint="eastAsia" w:ascii="宋体" w:hAnsi="宋体"/>
          <w:b/>
          <w:szCs w:val="21"/>
        </w:rPr>
        <w:t>3.11本次施工招标采用资格后审方式的双信封形式技术评分最低标价法。</w:t>
      </w:r>
    </w:p>
    <w:p/>
    <w:p>
      <w:pPr>
        <w:widowControl/>
        <w:jc w:val="left"/>
      </w:pPr>
      <w:r>
        <w:br w:type="page"/>
      </w:r>
    </w:p>
    <w:bookmarkEnd w:id="1"/>
    <w:bookmarkEnd w:id="2"/>
    <w:bookmarkEnd w:id="3"/>
    <w:p>
      <w:pPr>
        <w:pStyle w:val="2"/>
        <w:spacing w:before="0" w:after="0" w:line="240" w:lineRule="auto"/>
        <w:jc w:val="center"/>
        <w:rPr>
          <w:rFonts w:hint="eastAsia"/>
        </w:rPr>
      </w:pPr>
      <w:bookmarkStart w:id="15" w:name="_Toc19608028"/>
      <w:bookmarkStart w:id="16" w:name="_Toc509821965"/>
      <w:r>
        <w:rPr>
          <w:rFonts w:hint="eastAsia"/>
        </w:rPr>
        <w:t>附录1 资格审查条件（资质最低要求）</w:t>
      </w:r>
      <w:bookmarkEnd w:id="15"/>
      <w:bookmarkEnd w:id="16"/>
    </w:p>
    <w:p>
      <w:pPr>
        <w:pStyle w:val="15"/>
        <w:jc w:val="center"/>
        <w:outlineLvl w:val="9"/>
        <w:rPr>
          <w:rFonts w:hint="eastAsia"/>
          <w:vertAlign w:val="superscript"/>
        </w:rPr>
      </w:pPr>
    </w:p>
    <w:tbl>
      <w:tblPr>
        <w:tblStyle w:val="7"/>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1101" w:type="dxa"/>
            <w:noWrap w:val="0"/>
            <w:vAlign w:val="center"/>
          </w:tcPr>
          <w:p>
            <w:pPr>
              <w:jc w:val="center"/>
              <w:rPr>
                <w:rFonts w:hint="eastAsia" w:ascii="宋体" w:hAnsi="宋体"/>
                <w:szCs w:val="21"/>
              </w:rPr>
            </w:pPr>
            <w:r>
              <w:rPr>
                <w:rFonts w:hint="eastAsia" w:ascii="宋体" w:hAnsi="宋体"/>
                <w:szCs w:val="21"/>
              </w:rPr>
              <w:t>标段</w:t>
            </w:r>
          </w:p>
        </w:tc>
        <w:tc>
          <w:tcPr>
            <w:tcW w:w="8470" w:type="dxa"/>
            <w:noWrap w:val="0"/>
            <w:vAlign w:val="center"/>
          </w:tcPr>
          <w:p>
            <w:pPr>
              <w:ind w:firstLine="420" w:firstLineChars="200"/>
              <w:jc w:val="center"/>
              <w:rPr>
                <w:rFonts w:hint="eastAsia" w:ascii="宋体" w:hAnsi="宋体"/>
                <w:b/>
                <w:szCs w:val="21"/>
              </w:rPr>
            </w:pPr>
            <w:r>
              <w:rPr>
                <w:rFonts w:hint="eastAsia" w:ascii="宋体" w:hAnsi="宋体"/>
                <w:szCs w:val="21"/>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trPr>
        <w:tc>
          <w:tcPr>
            <w:tcW w:w="1101" w:type="dxa"/>
            <w:noWrap w:val="0"/>
            <w:vAlign w:val="center"/>
          </w:tcPr>
          <w:p>
            <w:pPr>
              <w:tabs>
                <w:tab w:val="left" w:pos="540"/>
              </w:tabs>
              <w:spacing w:line="400" w:lineRule="exact"/>
              <w:jc w:val="center"/>
              <w:rPr>
                <w:rFonts w:hint="eastAsia" w:ascii="宋体" w:hAnsi="宋体"/>
                <w:b/>
              </w:rPr>
            </w:pPr>
            <w:r>
              <w:rPr>
                <w:rFonts w:hint="eastAsia" w:ascii="宋体" w:hAnsi="宋体"/>
                <w:b/>
              </w:rPr>
              <w:t>01标段</w:t>
            </w:r>
          </w:p>
        </w:tc>
        <w:tc>
          <w:tcPr>
            <w:tcW w:w="8470" w:type="dxa"/>
            <w:noWrap w:val="0"/>
            <w:vAlign w:val="center"/>
          </w:tcPr>
          <w:p>
            <w:pPr>
              <w:tabs>
                <w:tab w:val="left" w:pos="540"/>
              </w:tabs>
              <w:spacing w:line="400" w:lineRule="exact"/>
              <w:rPr>
                <w:rFonts w:hint="eastAsia"/>
                <w:szCs w:val="21"/>
              </w:rPr>
            </w:pPr>
            <w:r>
              <w:rPr>
                <w:rFonts w:hint="eastAsia" w:ascii="宋体" w:hAnsi="宋体"/>
                <w:b/>
                <w:szCs w:val="21"/>
              </w:rPr>
              <w:t>具备建设行政主管部门颁发的公路工程施工总承包三级以上（含）资质</w:t>
            </w:r>
            <w:r>
              <w:rPr>
                <w:rFonts w:hint="eastAsia" w:ascii="宋体" w:hAnsi="宋体"/>
                <w:b/>
                <w:bCs/>
                <w:szCs w:val="21"/>
              </w:rPr>
              <w:t>和铁路工程施工总承包一级以上（含）资质。</w:t>
            </w:r>
          </w:p>
        </w:tc>
      </w:tr>
    </w:tbl>
    <w:p>
      <w:pPr>
        <w:pStyle w:val="2"/>
        <w:spacing w:before="0" w:after="0" w:line="240" w:lineRule="auto"/>
        <w:jc w:val="center"/>
        <w:rPr>
          <w:rFonts w:hint="eastAsia"/>
        </w:rPr>
      </w:pPr>
      <w:bookmarkStart w:id="17" w:name="_Toc509821966"/>
      <w:bookmarkStart w:id="18" w:name="_Toc287967393"/>
    </w:p>
    <w:p>
      <w:pPr>
        <w:rPr>
          <w:rFonts w:hint="eastAsia"/>
        </w:rPr>
      </w:pPr>
    </w:p>
    <w:p>
      <w:pPr>
        <w:rPr>
          <w:rFonts w:hint="eastAsia"/>
        </w:rPr>
      </w:pPr>
    </w:p>
    <w:p>
      <w:pPr>
        <w:rPr>
          <w:rFonts w:hint="eastAsia"/>
        </w:rPr>
      </w:pPr>
    </w:p>
    <w:p>
      <w:pPr>
        <w:rPr>
          <w:rFonts w:hint="eastAsia"/>
        </w:rPr>
      </w:pPr>
    </w:p>
    <w:p>
      <w:pPr>
        <w:rPr>
          <w:rFonts w:hint="eastAsia"/>
        </w:rPr>
      </w:pPr>
    </w:p>
    <w:p>
      <w:pPr>
        <w:pStyle w:val="2"/>
        <w:spacing w:before="0" w:after="0" w:line="240" w:lineRule="auto"/>
        <w:jc w:val="center"/>
        <w:rPr>
          <w:rFonts w:hint="eastAsia"/>
        </w:rPr>
      </w:pPr>
      <w:bookmarkStart w:id="19" w:name="_Toc19608029"/>
      <w:r>
        <w:rPr>
          <w:rFonts w:hint="eastAsia"/>
        </w:rPr>
        <w:t>附录2 资格审查条件（财务最低要求）</w:t>
      </w:r>
      <w:bookmarkEnd w:id="17"/>
      <w:bookmarkEnd w:id="18"/>
      <w:bookmarkEnd w:id="19"/>
    </w:p>
    <w:p>
      <w:pPr>
        <w:pStyle w:val="15"/>
        <w:jc w:val="center"/>
        <w:outlineLvl w:val="9"/>
        <w:rPr>
          <w:rFonts w:hint="eastAsia" w:ascii="黑体" w:hAnsi="黑体" w:eastAsia="黑体"/>
          <w:b w:val="0"/>
          <w:szCs w:val="28"/>
        </w:rPr>
      </w:pPr>
    </w:p>
    <w:tbl>
      <w:tblPr>
        <w:tblStyle w:val="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06" w:type="dxa"/>
            <w:noWrap w:val="0"/>
            <w:vAlign w:val="center"/>
          </w:tcPr>
          <w:p>
            <w:pPr>
              <w:spacing w:line="360" w:lineRule="auto"/>
              <w:jc w:val="center"/>
              <w:rPr>
                <w:rFonts w:hint="eastAsia"/>
                <w:szCs w:val="21"/>
              </w:rPr>
            </w:pPr>
            <w:r>
              <w:rPr>
                <w:rFonts w:hint="eastAsia"/>
                <w:szCs w:val="21"/>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0" w:hRule="atLeast"/>
        </w:trPr>
        <w:tc>
          <w:tcPr>
            <w:tcW w:w="9606" w:type="dxa"/>
            <w:noWrap w:val="0"/>
            <w:vAlign w:val="top"/>
          </w:tcPr>
          <w:p>
            <w:pPr>
              <w:adjustRightInd w:val="0"/>
              <w:snapToGrid w:val="0"/>
              <w:spacing w:line="360" w:lineRule="auto"/>
              <w:ind w:firstLine="420" w:firstLineChars="200"/>
              <w:rPr>
                <w:szCs w:val="21"/>
              </w:rPr>
            </w:pPr>
          </w:p>
          <w:p>
            <w:pPr>
              <w:adjustRightInd w:val="0"/>
              <w:snapToGrid w:val="0"/>
              <w:spacing w:line="360" w:lineRule="auto"/>
              <w:ind w:firstLine="420" w:firstLineChars="200"/>
              <w:rPr>
                <w:rFonts w:hint="eastAsia" w:ascii="宋体" w:hAnsi="宋体"/>
                <w:bCs/>
                <w:szCs w:val="21"/>
              </w:rPr>
            </w:pPr>
            <w:r>
              <w:rPr>
                <w:szCs w:val="21"/>
              </w:rPr>
              <w:t>资金信用</w:t>
            </w:r>
            <w:r>
              <w:rPr>
                <w:rStyle w:val="9"/>
                <w:szCs w:val="21"/>
              </w:rPr>
              <w:footnoteReference w:id="0"/>
            </w:r>
            <w:r>
              <w:rPr>
                <w:szCs w:val="21"/>
              </w:rPr>
              <w:t>：</w:t>
            </w:r>
            <w:r>
              <w:rPr>
                <w:rFonts w:hint="eastAsia" w:ascii="宋体" w:hAnsi="宋体"/>
                <w:bCs/>
                <w:szCs w:val="21"/>
              </w:rPr>
              <w:t>投标人的经审计的</w:t>
            </w:r>
            <w:r>
              <w:rPr>
                <w:rFonts w:hint="eastAsia" w:ascii="黑体" w:hAnsi="宋体" w:eastAsia="黑体"/>
                <w:b/>
                <w:bCs/>
                <w:szCs w:val="21"/>
              </w:rPr>
              <w:t>2018年</w:t>
            </w:r>
            <w:r>
              <w:rPr>
                <w:rFonts w:hint="eastAsia" w:ascii="宋体" w:hAnsi="宋体"/>
                <w:bCs/>
                <w:szCs w:val="21"/>
              </w:rPr>
              <w:t>财务会计报告中流动资金（流动资金=流动资产－流动负债）与为本项目开具的银行信贷证明之和必须达到如下标准：</w:t>
            </w:r>
          </w:p>
          <w:p>
            <w:pPr>
              <w:autoSpaceDE w:val="0"/>
              <w:autoSpaceDN w:val="0"/>
              <w:adjustRightInd w:val="0"/>
              <w:spacing w:line="360" w:lineRule="auto"/>
              <w:ind w:firstLine="413" w:firstLineChars="196"/>
              <w:rPr>
                <w:rFonts w:hint="eastAsia" w:ascii="宋体" w:hAnsi="宋体"/>
                <w:bCs/>
                <w:szCs w:val="21"/>
              </w:rPr>
            </w:pPr>
            <w:r>
              <w:rPr>
                <w:rFonts w:hint="eastAsia" w:ascii="黑体" w:hAnsi="宋体" w:eastAsia="黑体"/>
                <w:b/>
                <w:bCs/>
                <w:szCs w:val="21"/>
                <w:u w:val="single"/>
              </w:rPr>
              <w:t>01标段: 800万元</w:t>
            </w:r>
            <w:r>
              <w:rPr>
                <w:rFonts w:hint="eastAsia" w:ascii="宋体" w:hAnsi="宋体"/>
                <w:bCs/>
                <w:szCs w:val="21"/>
              </w:rPr>
              <w:t>。</w:t>
            </w:r>
          </w:p>
          <w:p>
            <w:pPr>
              <w:adjustRightInd w:val="0"/>
              <w:snapToGrid w:val="0"/>
              <w:spacing w:line="360" w:lineRule="auto"/>
              <w:ind w:firstLine="420" w:firstLineChars="200"/>
              <w:rPr>
                <w:rFonts w:hint="eastAsia"/>
                <w:b/>
                <w:sz w:val="28"/>
                <w:szCs w:val="28"/>
              </w:rPr>
            </w:pPr>
            <w:r>
              <w:rPr>
                <w:rFonts w:hint="eastAsia" w:ascii="宋体" w:hAnsi="宋体"/>
                <w:bCs/>
                <w:szCs w:val="21"/>
              </w:rPr>
              <w:t>银行信贷证明必须在地（市）级或以上级别的信誉良好的国有或股份制商业银行支行开具。</w:t>
            </w:r>
          </w:p>
        </w:tc>
      </w:tr>
    </w:tbl>
    <w:p>
      <w:pPr>
        <w:autoSpaceDE w:val="0"/>
        <w:autoSpaceDN w:val="0"/>
        <w:adjustRightInd w:val="0"/>
        <w:rPr>
          <w:rFonts w:hint="eastAsia"/>
          <w:b/>
          <w:sz w:val="18"/>
          <w:szCs w:val="18"/>
        </w:rPr>
      </w:pPr>
      <w:r>
        <w:rPr>
          <w:rFonts w:hint="eastAsia"/>
          <w:sz w:val="18"/>
        </w:rPr>
        <w:t>说明：以联合体形式参与投标的，流动资金仅考虑联合体牵头人的财务会计报告中的流动资金；如为本项目开具的银行信贷证明，必须由联合体牵头人办理。</w:t>
      </w:r>
    </w:p>
    <w:p>
      <w:pPr>
        <w:pStyle w:val="2"/>
        <w:spacing w:before="0" w:after="0" w:line="240" w:lineRule="auto"/>
        <w:jc w:val="center"/>
        <w:rPr>
          <w:rFonts w:hint="eastAsia"/>
        </w:rPr>
      </w:pPr>
      <w:bookmarkStart w:id="20" w:name="_Toc287967394"/>
      <w:bookmarkStart w:id="21" w:name="_Toc509821967"/>
    </w:p>
    <w:p>
      <w:pPr>
        <w:pStyle w:val="2"/>
        <w:spacing w:before="0" w:after="0" w:line="240" w:lineRule="auto"/>
        <w:jc w:val="center"/>
        <w:rPr>
          <w:rFonts w:hint="eastAsia"/>
        </w:rPr>
      </w:pPr>
    </w:p>
    <w:p>
      <w:pPr>
        <w:pStyle w:val="2"/>
        <w:spacing w:before="0" w:after="0" w:line="240" w:lineRule="auto"/>
        <w:jc w:val="center"/>
        <w:rPr>
          <w:rFonts w:hint="eastAsia"/>
        </w:rPr>
      </w:pPr>
      <w:r>
        <w:br w:type="page"/>
      </w:r>
      <w:bookmarkStart w:id="22" w:name="_Toc19608030"/>
      <w:r>
        <w:rPr>
          <w:rFonts w:hint="eastAsia"/>
        </w:rPr>
        <w:t>附录3 资格审查条件（业绩最低要求）</w:t>
      </w:r>
      <w:bookmarkEnd w:id="20"/>
      <w:bookmarkEnd w:id="21"/>
      <w:bookmarkEnd w:id="22"/>
    </w:p>
    <w:p>
      <w:pPr>
        <w:pStyle w:val="15"/>
        <w:jc w:val="center"/>
        <w:outlineLvl w:val="9"/>
        <w:rPr>
          <w:rFonts w:hint="eastAsia" w:ascii="黑体" w:hAnsi="黑体" w:eastAsia="黑体"/>
          <w:b w:val="0"/>
          <w:szCs w:val="28"/>
        </w:rPr>
      </w:pPr>
    </w:p>
    <w:tbl>
      <w:tblPr>
        <w:tblStyle w:val="7"/>
        <w:tblW w:w="10040"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7"/>
        <w:gridCol w:w="9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7" w:hRule="atLeast"/>
          <w:jc w:val="center"/>
        </w:trPr>
        <w:tc>
          <w:tcPr>
            <w:tcW w:w="817" w:type="dxa"/>
            <w:noWrap/>
            <w:vAlign w:val="center"/>
          </w:tcPr>
          <w:p>
            <w:pPr>
              <w:spacing w:line="300" w:lineRule="exact"/>
              <w:jc w:val="center"/>
              <w:rPr>
                <w:rFonts w:ascii="宋体" w:hAnsi="宋体"/>
                <w:kern w:val="0"/>
                <w:szCs w:val="21"/>
              </w:rPr>
            </w:pPr>
            <w:bookmarkStart w:id="23" w:name="_Toc287967395"/>
            <w:r>
              <w:rPr>
                <w:rFonts w:hint="eastAsia" w:ascii="宋体" w:hAnsi="宋体"/>
                <w:kern w:val="0"/>
                <w:szCs w:val="21"/>
              </w:rPr>
              <w:t>标段</w:t>
            </w:r>
          </w:p>
        </w:tc>
        <w:tc>
          <w:tcPr>
            <w:tcW w:w="9223" w:type="dxa"/>
            <w:noWrap w:val="0"/>
            <w:vAlign w:val="center"/>
          </w:tcPr>
          <w:p>
            <w:pPr>
              <w:spacing w:line="300" w:lineRule="exact"/>
              <w:jc w:val="center"/>
              <w:rPr>
                <w:rFonts w:hint="eastAsia" w:ascii="宋体" w:hAnsi="宋体"/>
                <w:szCs w:val="21"/>
              </w:rPr>
            </w:pPr>
            <w:r>
              <w:rPr>
                <w:rFonts w:hint="eastAsia" w:ascii="宋体" w:hAnsi="宋体"/>
                <w:szCs w:val="21"/>
              </w:rPr>
              <w:t>业绩要求</w:t>
            </w:r>
          </w:p>
          <w:p>
            <w:pPr>
              <w:spacing w:line="300" w:lineRule="exact"/>
              <w:jc w:val="center"/>
              <w:rPr>
                <w:rFonts w:hint="eastAsia" w:ascii="宋体" w:hAnsi="宋体"/>
                <w:szCs w:val="21"/>
              </w:rPr>
            </w:pPr>
            <w:r>
              <w:rPr>
                <w:szCs w:val="21"/>
              </w:rPr>
              <w:t>（</w:t>
            </w:r>
            <w:r>
              <w:rPr>
                <w:rFonts w:hint="eastAsia" w:ascii="宋体" w:hAnsi="宋体"/>
                <w:b/>
                <w:bCs/>
                <w:szCs w:val="21"/>
              </w:rPr>
              <w:t>近5年指</w:t>
            </w:r>
            <w:r>
              <w:rPr>
                <w:rFonts w:ascii="宋体" w:hAnsi="宋体"/>
                <w:b/>
                <w:bCs/>
                <w:szCs w:val="21"/>
              </w:rPr>
              <w:t>201</w:t>
            </w:r>
            <w:r>
              <w:rPr>
                <w:rFonts w:hint="eastAsia" w:ascii="宋体" w:hAnsi="宋体"/>
                <w:b/>
                <w:bCs/>
                <w:szCs w:val="21"/>
              </w:rPr>
              <w:t>4</w:t>
            </w:r>
            <w:r>
              <w:rPr>
                <w:rFonts w:ascii="宋体" w:hAnsi="宋体"/>
                <w:b/>
                <w:bCs/>
                <w:szCs w:val="21"/>
              </w:rPr>
              <w:t>年</w:t>
            </w:r>
            <w:r>
              <w:rPr>
                <w:rFonts w:hint="eastAsia" w:ascii="宋体" w:hAnsi="宋体"/>
                <w:b/>
                <w:bCs/>
                <w:szCs w:val="21"/>
              </w:rPr>
              <w:t>1</w:t>
            </w:r>
            <w:r>
              <w:rPr>
                <w:rFonts w:ascii="宋体" w:hAnsi="宋体"/>
                <w:b/>
                <w:bCs/>
                <w:szCs w:val="21"/>
              </w:rPr>
              <w:t>月1日之后交工的工程</w:t>
            </w:r>
            <w:r>
              <w:rPr>
                <w:rFonts w:hint="eastAsia" w:ascii="宋体" w:hAnsi="宋体"/>
                <w:b/>
                <w:bCs/>
                <w:szCs w:val="21"/>
              </w:rPr>
              <w:t>，以交工时间为准，</w:t>
            </w:r>
            <w:r>
              <w:rPr>
                <w:rFonts w:ascii="宋体" w:hAnsi="宋体"/>
                <w:b/>
                <w:bCs/>
                <w:szCs w:val="21"/>
              </w:rPr>
              <w:t>养护工程</w:t>
            </w:r>
            <w:r>
              <w:rPr>
                <w:rFonts w:hint="eastAsia" w:ascii="宋体" w:hAnsi="宋体"/>
                <w:b/>
                <w:bCs/>
                <w:szCs w:val="21"/>
              </w:rPr>
              <w:t>、</w:t>
            </w:r>
            <w:r>
              <w:rPr>
                <w:rFonts w:ascii="宋体" w:hAnsi="宋体"/>
                <w:b/>
                <w:bCs/>
                <w:szCs w:val="21"/>
              </w:rPr>
              <w:t>国外工程不能作为本次招标的业绩</w:t>
            </w:r>
            <w:r>
              <w:rPr>
                <w:rFonts w:hint="eastAsia" w:ascii="宋体" w:hAnsi="宋体"/>
                <w:b/>
                <w:bCs/>
                <w:szCs w:val="21"/>
              </w:rPr>
              <w:t>，一级公路或高速公路工程全幅按2倍计算，半幅按1倍计算。</w:t>
            </w:r>
            <w:r>
              <w:rPr>
                <w:rFonts w:ascii="宋体" w:hAnsi="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38" w:hRule="atLeast"/>
          <w:jc w:val="center"/>
        </w:trPr>
        <w:tc>
          <w:tcPr>
            <w:tcW w:w="817" w:type="dxa"/>
            <w:noWrap/>
            <w:vAlign w:val="center"/>
          </w:tcPr>
          <w:p>
            <w:pPr>
              <w:spacing w:line="220" w:lineRule="exact"/>
              <w:jc w:val="center"/>
              <w:rPr>
                <w:rFonts w:hint="eastAsia" w:ascii="宋体" w:hAnsi="宋体"/>
                <w:b/>
                <w:kern w:val="0"/>
                <w:szCs w:val="21"/>
              </w:rPr>
            </w:pPr>
            <w:r>
              <w:rPr>
                <w:rFonts w:hint="eastAsia" w:ascii="宋体" w:hAnsi="宋体"/>
                <w:b/>
                <w:kern w:val="0"/>
                <w:szCs w:val="21"/>
              </w:rPr>
              <w:t>01</w:t>
            </w:r>
          </w:p>
        </w:tc>
        <w:tc>
          <w:tcPr>
            <w:tcW w:w="9223" w:type="dxa"/>
            <w:noWrap w:val="0"/>
            <w:vAlign w:val="center"/>
          </w:tcPr>
          <w:p>
            <w:pPr>
              <w:spacing w:line="300" w:lineRule="exact"/>
              <w:ind w:firstLine="422" w:firstLineChars="200"/>
              <w:jc w:val="left"/>
              <w:rPr>
                <w:rFonts w:hint="eastAsia" w:ascii="宋体" w:hAnsi="宋体"/>
                <w:b/>
                <w:bCs/>
                <w:szCs w:val="21"/>
              </w:rPr>
            </w:pPr>
            <w:r>
              <w:rPr>
                <w:rFonts w:hint="eastAsia" w:ascii="宋体" w:hAnsi="宋体"/>
                <w:b/>
                <w:bCs/>
                <w:szCs w:val="21"/>
              </w:rPr>
              <w:t>近5年内至少完成过1座公路工程大桥施工业绩。</w:t>
            </w:r>
          </w:p>
        </w:tc>
      </w:tr>
    </w:tbl>
    <w:p>
      <w:pPr>
        <w:jc w:val="left"/>
        <w:rPr>
          <w:rFonts w:hint="eastAsia" w:ascii="Times New Roman" w:hAnsi="Times New Roman"/>
          <w:bCs/>
          <w:sz w:val="18"/>
          <w:szCs w:val="24"/>
        </w:rPr>
      </w:pPr>
      <w:r>
        <w:rPr>
          <w:rFonts w:hint="eastAsia" w:ascii="Times New Roman" w:hAnsi="Times New Roman"/>
          <w:bCs/>
          <w:sz w:val="18"/>
          <w:szCs w:val="24"/>
        </w:rPr>
        <w:t>说明：1、以联合体形式参与投标的，其业绩以联合体各方与资质相对应的业绩之和为准。</w:t>
      </w:r>
      <w:r>
        <w:rPr>
          <w:rFonts w:ascii="Times New Roman" w:hAnsi="Times New Roman"/>
          <w:bCs/>
          <w:sz w:val="18"/>
          <w:szCs w:val="24"/>
        </w:rPr>
        <w:t xml:space="preserve"> </w:t>
      </w:r>
    </w:p>
    <w:p>
      <w:r>
        <w:rPr>
          <w:rFonts w:hint="eastAsia" w:ascii="Times New Roman" w:hAnsi="Times New Roman"/>
          <w:bCs/>
          <w:sz w:val="18"/>
          <w:szCs w:val="24"/>
        </w:rPr>
        <w:t>2、</w:t>
      </w:r>
      <w:r>
        <w:rPr>
          <w:rFonts w:ascii="Times New Roman" w:hAnsi="Times New Roman"/>
          <w:bCs/>
          <w:sz w:val="18"/>
          <w:szCs w:val="24"/>
        </w:rPr>
        <w:t>在本公告规定的投标截止时间前，投标人</w:t>
      </w:r>
      <w:r>
        <w:rPr>
          <w:rFonts w:hint="eastAsia" w:ascii="Times New Roman" w:hAnsi="Times New Roman"/>
          <w:bCs/>
          <w:sz w:val="18"/>
          <w:szCs w:val="24"/>
        </w:rPr>
        <w:t>（含联合体各成员）</w:t>
      </w:r>
      <w:r>
        <w:rPr>
          <w:rFonts w:ascii="Times New Roman" w:hAnsi="Times New Roman"/>
          <w:bCs/>
          <w:sz w:val="18"/>
          <w:szCs w:val="24"/>
        </w:rPr>
        <w:t>企业施工业绩指交通运输部“全国公路建设市场信用信息管理系统”(http://glxy.mot.gov.cn/BM/)中已载明且通过省级交通运输主管部门审核的投标人的已建主包业绩，其网页截图中应能明确查询到项目名称、公路等级、交工日期和业绩最低要求对应的各项工程内容信息。在交通运输部“全国公路建设市场信用信息管理系统”中无法查询</w:t>
      </w:r>
      <w:r>
        <w:rPr>
          <w:rFonts w:hint="eastAsia" w:ascii="Times New Roman" w:hAnsi="Times New Roman"/>
          <w:bCs/>
          <w:sz w:val="18"/>
          <w:szCs w:val="24"/>
        </w:rPr>
        <w:t>，</w:t>
      </w:r>
      <w:r>
        <w:rPr>
          <w:rFonts w:ascii="Times New Roman" w:hAnsi="Times New Roman"/>
          <w:bCs/>
          <w:sz w:val="18"/>
          <w:szCs w:val="24"/>
        </w:rPr>
        <w:t>但可在省级交通运输主管部门</w:t>
      </w:r>
      <w:r>
        <w:rPr>
          <w:rFonts w:hint="eastAsia" w:ascii="Times New Roman" w:hAnsi="Times New Roman"/>
          <w:bCs/>
          <w:sz w:val="18"/>
          <w:szCs w:val="24"/>
        </w:rPr>
        <w:t>“公路建设市场信用信息管理系统”中查询的，应附省级交通运输主管部门“公路建设市场信用信息管理系统”中查询到的网页截图复印件。除网页截图复印件外，投标人无须再提供任何业绩证明材料。</w:t>
      </w:r>
    </w:p>
    <w:p>
      <w:pPr>
        <w:pStyle w:val="2"/>
        <w:spacing w:before="0" w:after="0" w:line="240" w:lineRule="auto"/>
        <w:jc w:val="center"/>
        <w:rPr>
          <w:rFonts w:hint="eastAsia"/>
        </w:rPr>
      </w:pPr>
      <w:bookmarkStart w:id="24" w:name="_Toc509821968"/>
    </w:p>
    <w:p>
      <w:pPr>
        <w:pStyle w:val="2"/>
        <w:spacing w:before="0" w:after="0" w:line="240" w:lineRule="auto"/>
        <w:jc w:val="center"/>
        <w:rPr>
          <w:rFonts w:hint="eastAsia"/>
        </w:rPr>
      </w:pPr>
    </w:p>
    <w:p>
      <w:pPr>
        <w:pStyle w:val="2"/>
        <w:spacing w:before="0" w:after="0" w:line="240" w:lineRule="auto"/>
        <w:jc w:val="center"/>
        <w:rPr>
          <w:rFonts w:hint="eastAsia"/>
        </w:rPr>
      </w:pPr>
      <w:bookmarkStart w:id="25" w:name="_Toc19608031"/>
      <w:r>
        <w:rPr>
          <w:rFonts w:hint="eastAsia"/>
        </w:rPr>
        <w:t>附录4 资格审查条件（信誉最低要求）</w:t>
      </w:r>
      <w:bookmarkEnd w:id="23"/>
      <w:bookmarkEnd w:id="24"/>
      <w:bookmarkEnd w:id="25"/>
    </w:p>
    <w:p>
      <w:pPr>
        <w:pStyle w:val="15"/>
        <w:jc w:val="center"/>
        <w:outlineLvl w:val="9"/>
        <w:rPr>
          <w:rFonts w:hint="eastAsia" w:ascii="宋体" w:hAnsi="宋体"/>
          <w:vertAlign w:val="superscript"/>
        </w:rPr>
      </w:pPr>
    </w:p>
    <w:tbl>
      <w:tblPr>
        <w:tblStyle w:val="7"/>
        <w:tblW w:w="91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7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484" w:type="dxa"/>
            <w:noWrap w:val="0"/>
            <w:vAlign w:val="center"/>
          </w:tcPr>
          <w:p>
            <w:pPr>
              <w:tabs>
                <w:tab w:val="left" w:pos="1950"/>
              </w:tabs>
              <w:autoSpaceDE w:val="0"/>
              <w:autoSpaceDN w:val="0"/>
              <w:adjustRightInd w:val="0"/>
              <w:spacing w:line="360" w:lineRule="auto"/>
              <w:jc w:val="center"/>
              <w:rPr>
                <w:szCs w:val="21"/>
              </w:rPr>
            </w:pPr>
            <w:r>
              <w:rPr>
                <w:rFonts w:hAnsi="宋体"/>
                <w:szCs w:val="21"/>
              </w:rPr>
              <w:t>标段名称</w:t>
            </w:r>
          </w:p>
        </w:tc>
        <w:tc>
          <w:tcPr>
            <w:tcW w:w="7691" w:type="dxa"/>
            <w:noWrap w:val="0"/>
            <w:vAlign w:val="center"/>
          </w:tcPr>
          <w:p>
            <w:pPr>
              <w:tabs>
                <w:tab w:val="left" w:pos="1950"/>
              </w:tabs>
              <w:autoSpaceDE w:val="0"/>
              <w:autoSpaceDN w:val="0"/>
              <w:adjustRightInd w:val="0"/>
              <w:spacing w:line="360" w:lineRule="auto"/>
              <w:jc w:val="center"/>
              <w:rPr>
                <w:szCs w:val="21"/>
              </w:rPr>
            </w:pPr>
            <w:r>
              <w:rPr>
                <w:rFonts w:hAnsi="宋体"/>
                <w:szCs w:val="21"/>
              </w:rPr>
              <w:t>信</w:t>
            </w:r>
            <w:r>
              <w:rPr>
                <w:szCs w:val="21"/>
              </w:rPr>
              <w:t xml:space="preserve"> </w:t>
            </w:r>
            <w:r>
              <w:rPr>
                <w:rFonts w:hAnsi="宋体"/>
                <w:szCs w:val="21"/>
              </w:rPr>
              <w:t>誉</w:t>
            </w:r>
            <w:r>
              <w:rPr>
                <w:szCs w:val="21"/>
              </w:rPr>
              <w:t xml:space="preserve"> </w:t>
            </w:r>
            <w:r>
              <w:rPr>
                <w:rFonts w:hAnsi="宋体"/>
                <w:szCs w:val="21"/>
              </w:rPr>
              <w:t>要</w:t>
            </w:r>
            <w:r>
              <w:rPr>
                <w:szCs w:val="21"/>
              </w:rPr>
              <w:t xml:space="preserve"> </w:t>
            </w:r>
            <w:r>
              <w:rPr>
                <w:rFonts w:hAnsi="宋体"/>
                <w:szCs w:val="21"/>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3" w:hRule="atLeast"/>
          <w:jc w:val="center"/>
        </w:trPr>
        <w:tc>
          <w:tcPr>
            <w:tcW w:w="1484" w:type="dxa"/>
            <w:noWrap w:val="0"/>
            <w:vAlign w:val="center"/>
          </w:tcPr>
          <w:p>
            <w:pPr>
              <w:autoSpaceDE w:val="0"/>
              <w:autoSpaceDN w:val="0"/>
              <w:adjustRightInd w:val="0"/>
              <w:spacing w:line="400" w:lineRule="exact"/>
              <w:jc w:val="center"/>
              <w:rPr>
                <w:rFonts w:ascii="宋体" w:hAnsi="宋体"/>
                <w:b/>
                <w:kern w:val="0"/>
                <w:szCs w:val="21"/>
              </w:rPr>
            </w:pPr>
            <w:r>
              <w:rPr>
                <w:rFonts w:hint="eastAsia" w:ascii="宋体" w:hAnsi="宋体"/>
                <w:b/>
                <w:kern w:val="0"/>
                <w:szCs w:val="21"/>
              </w:rPr>
              <w:t>01标段</w:t>
            </w:r>
          </w:p>
        </w:tc>
        <w:tc>
          <w:tcPr>
            <w:tcW w:w="7691" w:type="dxa"/>
            <w:noWrap w:val="0"/>
            <w:vAlign w:val="top"/>
          </w:tcPr>
          <w:p>
            <w:pPr>
              <w:adjustRightInd w:val="0"/>
              <w:snapToGrid w:val="0"/>
              <w:spacing w:line="400" w:lineRule="exact"/>
              <w:rPr>
                <w:szCs w:val="21"/>
              </w:rPr>
            </w:pPr>
            <w:r>
              <w:rPr>
                <w:rFonts w:hint="eastAsia"/>
                <w:szCs w:val="21"/>
              </w:rPr>
              <w:t>（</w:t>
            </w:r>
            <w:r>
              <w:rPr>
                <w:szCs w:val="21"/>
              </w:rPr>
              <w:t>1</w:t>
            </w:r>
            <w:r>
              <w:rPr>
                <w:rFonts w:hint="eastAsia"/>
                <w:szCs w:val="21"/>
              </w:rPr>
              <w:t>）没有</w:t>
            </w:r>
            <w:r>
              <w:rPr>
                <w:rFonts w:hint="eastAsia" w:hAnsi="宋体"/>
                <w:szCs w:val="21"/>
              </w:rPr>
              <w:t>被吉林省及以上建设主管部门或交通运输主管部门取消本项目所在地的投标资格或禁止进入吉林省建设市场且处于有效期内；</w:t>
            </w:r>
          </w:p>
          <w:p>
            <w:pPr>
              <w:adjustRightInd w:val="0"/>
              <w:snapToGrid w:val="0"/>
              <w:spacing w:line="400" w:lineRule="exact"/>
              <w:rPr>
                <w:szCs w:val="21"/>
              </w:rPr>
            </w:pPr>
            <w:r>
              <w:rPr>
                <w:rFonts w:hint="eastAsia"/>
                <w:szCs w:val="21"/>
              </w:rPr>
              <w:t>（</w:t>
            </w:r>
            <w:r>
              <w:rPr>
                <w:szCs w:val="21"/>
              </w:rPr>
              <w:t>2</w:t>
            </w:r>
            <w:r>
              <w:rPr>
                <w:rFonts w:hint="eastAsia"/>
                <w:szCs w:val="21"/>
              </w:rPr>
              <w:t>）没有被责令停业，暂扣或吊销执照，或吊销资质证书；</w:t>
            </w:r>
          </w:p>
          <w:p>
            <w:pPr>
              <w:adjustRightInd w:val="0"/>
              <w:snapToGrid w:val="0"/>
              <w:spacing w:line="400" w:lineRule="exact"/>
              <w:rPr>
                <w:szCs w:val="21"/>
              </w:rPr>
            </w:pPr>
            <w:r>
              <w:rPr>
                <w:rFonts w:hint="eastAsia"/>
                <w:szCs w:val="21"/>
              </w:rPr>
              <w:t>（</w:t>
            </w:r>
            <w:r>
              <w:rPr>
                <w:szCs w:val="21"/>
              </w:rPr>
              <w:t>3</w:t>
            </w:r>
            <w:r>
              <w:rPr>
                <w:rFonts w:hint="eastAsia"/>
                <w:szCs w:val="21"/>
              </w:rPr>
              <w:t>）没有进入清算程序，或被宣告破产，或其他丧失履约能力的情形；</w:t>
            </w:r>
          </w:p>
          <w:p>
            <w:pPr>
              <w:adjustRightInd w:val="0"/>
              <w:snapToGrid w:val="0"/>
              <w:spacing w:line="400" w:lineRule="exact"/>
              <w:rPr>
                <w:szCs w:val="21"/>
              </w:rPr>
            </w:pPr>
            <w:r>
              <w:rPr>
                <w:rFonts w:hint="eastAsia"/>
                <w:szCs w:val="21"/>
              </w:rPr>
              <w:t>（</w:t>
            </w:r>
            <w:r>
              <w:rPr>
                <w:szCs w:val="21"/>
              </w:rPr>
              <w:t>4</w:t>
            </w:r>
            <w:r>
              <w:rPr>
                <w:rFonts w:hint="eastAsia"/>
                <w:szCs w:val="21"/>
              </w:rPr>
              <w:t>）没有在国家企业信用信息公示系统（</w:t>
            </w:r>
            <w:r>
              <w:fldChar w:fldCharType="begin"/>
            </w:r>
            <w:r>
              <w:instrText xml:space="preserve">HYPERLINK "http://www.gsxt.gov.cn/)%e4%b8%ad%e8%a2%ab%e5%88%97%e5%85%a5%e4%b8%a5%e9%87%8d%e8%bf%9d%e6%b3%95"</w:instrText>
            </w:r>
            <w:r>
              <w:fldChar w:fldCharType="separate"/>
            </w:r>
            <w:r>
              <w:rPr>
                <w:szCs w:val="21"/>
              </w:rPr>
              <w:t>http://www.gsxt.gov.cn/)</w:t>
            </w:r>
            <w:r>
              <w:rPr>
                <w:rFonts w:hint="eastAsia"/>
                <w:szCs w:val="21"/>
              </w:rPr>
              <w:t>中被列入严重违法</w:t>
            </w:r>
            <w:r>
              <w:fldChar w:fldCharType="end"/>
            </w:r>
            <w:r>
              <w:rPr>
                <w:rFonts w:hint="eastAsia"/>
                <w:szCs w:val="21"/>
              </w:rPr>
              <w:t>失信企业名单；</w:t>
            </w:r>
          </w:p>
          <w:p>
            <w:pPr>
              <w:adjustRightInd w:val="0"/>
              <w:snapToGrid w:val="0"/>
              <w:spacing w:line="400" w:lineRule="exact"/>
              <w:rPr>
                <w:szCs w:val="21"/>
              </w:rPr>
            </w:pPr>
            <w:r>
              <w:rPr>
                <w:rFonts w:hint="eastAsia"/>
                <w:szCs w:val="21"/>
              </w:rPr>
              <w:t>（</w:t>
            </w:r>
            <w:r>
              <w:rPr>
                <w:szCs w:val="21"/>
              </w:rPr>
              <w:t>5</w:t>
            </w:r>
            <w:r>
              <w:rPr>
                <w:rFonts w:hint="eastAsia"/>
                <w:szCs w:val="21"/>
              </w:rPr>
              <w:t>）没有在</w:t>
            </w:r>
            <w:r>
              <w:rPr>
                <w:szCs w:val="21"/>
              </w:rPr>
              <w:t>“</w:t>
            </w:r>
            <w:r>
              <w:rPr>
                <w:rFonts w:hint="eastAsia"/>
                <w:szCs w:val="21"/>
              </w:rPr>
              <w:t>信用中国</w:t>
            </w:r>
            <w:r>
              <w:rPr>
                <w:szCs w:val="21"/>
              </w:rPr>
              <w:t>”</w:t>
            </w:r>
            <w:r>
              <w:rPr>
                <w:rFonts w:hint="eastAsia"/>
                <w:szCs w:val="21"/>
              </w:rPr>
              <w:t>网站（</w:t>
            </w:r>
            <w:r>
              <w:fldChar w:fldCharType="begin"/>
            </w:r>
            <w:r>
              <w:instrText xml:space="preserve">HYPERLINK "http://www.creditchina.gov.cn/)%e4%b8%ad%e8%a2%ab%e5%88%97%e5%85%a5%e5%a4%b1%e4%bf%a1%e8%a2%ab%e6%89%a7%e8%a1%8c"</w:instrText>
            </w:r>
            <w:r>
              <w:fldChar w:fldCharType="separate"/>
            </w:r>
            <w:r>
              <w:rPr>
                <w:szCs w:val="21"/>
              </w:rPr>
              <w:t>http://www.creditchina.gov.cn/)</w:t>
            </w:r>
            <w:r>
              <w:rPr>
                <w:rFonts w:hint="eastAsia"/>
                <w:szCs w:val="21"/>
              </w:rPr>
              <w:t>中被列入失信被执行</w:t>
            </w:r>
            <w:r>
              <w:fldChar w:fldCharType="end"/>
            </w:r>
            <w:r>
              <w:rPr>
                <w:rFonts w:hint="eastAsia"/>
                <w:szCs w:val="21"/>
              </w:rPr>
              <w:t>人名单；</w:t>
            </w:r>
          </w:p>
          <w:p>
            <w:pPr>
              <w:autoSpaceDE w:val="0"/>
              <w:autoSpaceDN w:val="0"/>
              <w:adjustRightInd w:val="0"/>
              <w:spacing w:line="400" w:lineRule="exact"/>
              <w:jc w:val="left"/>
              <w:rPr>
                <w:szCs w:val="18"/>
              </w:rPr>
            </w:pPr>
            <w:r>
              <w:rPr>
                <w:rFonts w:hint="eastAsia"/>
                <w:szCs w:val="21"/>
              </w:rPr>
              <w:t>（</w:t>
            </w:r>
            <w:r>
              <w:rPr>
                <w:szCs w:val="21"/>
              </w:rPr>
              <w:t>6</w:t>
            </w:r>
            <w:r>
              <w:rPr>
                <w:rFonts w:hint="eastAsia"/>
                <w:szCs w:val="21"/>
              </w:rPr>
              <w:t>）</w:t>
            </w:r>
            <w:r>
              <w:rPr>
                <w:rFonts w:ascii="宋体" w:hAnsi="宋体"/>
                <w:kern w:val="0"/>
                <w:szCs w:val="21"/>
                <w:lang w:val="zh-CN"/>
              </w:rPr>
              <w:t>在</w:t>
            </w:r>
            <w:r>
              <w:rPr>
                <w:rFonts w:ascii="宋体" w:hAnsi="宋体"/>
                <w:b/>
                <w:kern w:val="0"/>
                <w:szCs w:val="21"/>
                <w:lang w:val="zh-CN"/>
              </w:rPr>
              <w:t>中国裁判文书网</w:t>
            </w:r>
            <w:r>
              <w:rPr>
                <w:rFonts w:ascii="宋体" w:hAnsi="宋体"/>
                <w:b/>
                <w:kern w:val="0"/>
                <w:szCs w:val="21"/>
              </w:rPr>
              <w:t>http://wenshu.court.gov.cn/</w:t>
            </w:r>
            <w:r>
              <w:rPr>
                <w:rFonts w:ascii="宋体" w:hAnsi="宋体"/>
                <w:kern w:val="0"/>
                <w:szCs w:val="21"/>
                <w:lang w:val="zh-CN"/>
              </w:rPr>
              <w:t>自行查询行贿犯罪记录</w:t>
            </w:r>
            <w:r>
              <w:rPr>
                <w:rFonts w:hint="eastAsia" w:ascii="宋体" w:hAnsi="宋体"/>
                <w:kern w:val="0"/>
                <w:szCs w:val="21"/>
              </w:rPr>
              <w:t>，</w:t>
            </w:r>
            <w:r>
              <w:rPr>
                <w:rFonts w:ascii="宋体" w:hAnsi="宋体"/>
                <w:kern w:val="0"/>
                <w:szCs w:val="21"/>
                <w:lang w:val="zh-CN"/>
              </w:rPr>
              <w:t>并将网页截图附在投标文件中</w:t>
            </w:r>
            <w:r>
              <w:rPr>
                <w:rFonts w:hint="eastAsia" w:ascii="宋体" w:hAnsi="宋体"/>
                <w:kern w:val="0"/>
                <w:szCs w:val="21"/>
              </w:rPr>
              <w:t>，</w:t>
            </w:r>
            <w:r>
              <w:rPr>
                <w:rFonts w:ascii="宋体" w:hAnsi="宋体"/>
                <w:kern w:val="0"/>
                <w:szCs w:val="21"/>
                <w:lang w:val="zh-CN"/>
              </w:rPr>
              <w:t>查询后没有行贿犯罪行为</w:t>
            </w:r>
            <w:r>
              <w:rPr>
                <w:rFonts w:hint="eastAsia" w:ascii="宋体" w:hAnsi="宋体"/>
                <w:kern w:val="0"/>
                <w:szCs w:val="21"/>
                <w:lang w:val="zh-CN"/>
              </w:rPr>
              <w:t>。</w:t>
            </w:r>
          </w:p>
        </w:tc>
      </w:tr>
    </w:tbl>
    <w:p>
      <w:pPr>
        <w:rPr>
          <w:rFonts w:hint="eastAsia"/>
          <w:sz w:val="24"/>
        </w:rPr>
      </w:pPr>
    </w:p>
    <w:p>
      <w:pPr>
        <w:pStyle w:val="2"/>
        <w:spacing w:before="0" w:after="0" w:line="240" w:lineRule="auto"/>
        <w:jc w:val="center"/>
        <w:rPr>
          <w:rFonts w:hint="eastAsia"/>
        </w:rPr>
      </w:pPr>
      <w:bookmarkStart w:id="26" w:name="_Toc287967396"/>
      <w:bookmarkStart w:id="27" w:name="_Toc509821969"/>
      <w:r>
        <w:br w:type="page"/>
      </w:r>
      <w:bookmarkStart w:id="28" w:name="_Toc19608032"/>
      <w:r>
        <w:rPr>
          <w:rFonts w:hint="eastAsia"/>
        </w:rPr>
        <w:t>附录5 资格审查条件（项目经理和项目总工最低要求）</w:t>
      </w:r>
      <w:bookmarkEnd w:id="26"/>
      <w:bookmarkEnd w:id="27"/>
      <w:bookmarkEnd w:id="28"/>
    </w:p>
    <w:p>
      <w:pPr>
        <w:spacing w:line="360" w:lineRule="auto"/>
        <w:rPr>
          <w:rFonts w:hint="eastAsia"/>
          <w:b/>
        </w:rPr>
      </w:pPr>
      <w:r>
        <w:rPr>
          <w:rFonts w:hint="eastAsia"/>
          <w:b/>
        </w:rPr>
        <w:t>01标段：</w:t>
      </w:r>
    </w:p>
    <w:tbl>
      <w:tblPr>
        <w:tblStyle w:val="7"/>
        <w:tblW w:w="9700" w:type="dxa"/>
        <w:jc w:val="center"/>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851"/>
        <w:gridCol w:w="584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7" w:type="dxa"/>
            <w:noWrap w:val="0"/>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人员</w:t>
            </w:r>
          </w:p>
        </w:tc>
        <w:tc>
          <w:tcPr>
            <w:tcW w:w="851" w:type="dxa"/>
            <w:noWrap w:val="0"/>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数量</w:t>
            </w:r>
          </w:p>
        </w:tc>
        <w:tc>
          <w:tcPr>
            <w:tcW w:w="5841" w:type="dxa"/>
            <w:noWrap w:val="0"/>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资格要求</w:t>
            </w:r>
          </w:p>
        </w:tc>
        <w:tc>
          <w:tcPr>
            <w:tcW w:w="1701" w:type="dxa"/>
            <w:noWrap w:val="0"/>
            <w:vAlign w:val="top"/>
          </w:tcPr>
          <w:p>
            <w:pPr>
              <w:autoSpaceDE w:val="0"/>
              <w:autoSpaceDN w:val="0"/>
              <w:adjustRightInd w:val="0"/>
              <w:spacing w:line="400" w:lineRule="exact"/>
              <w:jc w:val="center"/>
              <w:rPr>
                <w:rFonts w:hint="eastAsia" w:ascii="宋体" w:hAnsi="宋体" w:cs="宋体"/>
                <w:szCs w:val="21"/>
              </w:rPr>
            </w:pPr>
            <w:r>
              <w:rPr>
                <w:rFonts w:hint="eastAsia" w:ascii="宋体" w:hAnsi="宋体" w:cs="宋体"/>
                <w:szCs w:val="21"/>
              </w:rPr>
              <w:t>在岗要求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0" w:hRule="atLeast"/>
          <w:jc w:val="center"/>
        </w:trPr>
        <w:tc>
          <w:tcPr>
            <w:tcW w:w="1307" w:type="dxa"/>
            <w:noWrap w:val="0"/>
            <w:vAlign w:val="center"/>
          </w:tcPr>
          <w:p>
            <w:pPr>
              <w:autoSpaceDE w:val="0"/>
              <w:autoSpaceDN w:val="0"/>
              <w:adjustRightInd w:val="0"/>
              <w:spacing w:line="400" w:lineRule="exact"/>
              <w:jc w:val="center"/>
              <w:rPr>
                <w:rFonts w:ascii="黑体" w:hAnsi="宋体" w:eastAsia="黑体" w:cs="宋体"/>
                <w:szCs w:val="21"/>
              </w:rPr>
            </w:pPr>
            <w:r>
              <w:rPr>
                <w:rFonts w:hint="eastAsia" w:ascii="黑体" w:hAnsi="宋体" w:eastAsia="黑体" w:cs="宋体"/>
                <w:szCs w:val="21"/>
              </w:rPr>
              <w:t>项目经理</w:t>
            </w:r>
          </w:p>
        </w:tc>
        <w:tc>
          <w:tcPr>
            <w:tcW w:w="851" w:type="dxa"/>
            <w:noWrap w:val="0"/>
            <w:vAlign w:val="center"/>
          </w:tcPr>
          <w:p>
            <w:pPr>
              <w:autoSpaceDE w:val="0"/>
              <w:autoSpaceDN w:val="0"/>
              <w:adjustRightInd w:val="0"/>
              <w:spacing w:line="400" w:lineRule="exact"/>
              <w:jc w:val="center"/>
              <w:rPr>
                <w:rFonts w:ascii="宋体" w:hAnsi="宋体" w:cs="宋体"/>
                <w:b/>
                <w:szCs w:val="21"/>
              </w:rPr>
            </w:pPr>
            <w:r>
              <w:rPr>
                <w:rFonts w:hint="eastAsia" w:ascii="宋体" w:hAnsi="宋体" w:cs="宋体"/>
                <w:b/>
                <w:szCs w:val="21"/>
              </w:rPr>
              <w:t>1</w:t>
            </w:r>
          </w:p>
        </w:tc>
        <w:tc>
          <w:tcPr>
            <w:tcW w:w="5841" w:type="dxa"/>
            <w:noWrap w:val="0"/>
            <w:vAlign w:val="center"/>
          </w:tcPr>
          <w:p>
            <w:pPr>
              <w:spacing w:line="276" w:lineRule="auto"/>
              <w:rPr>
                <w:rFonts w:hint="eastAsia" w:ascii="宋体"/>
                <w:b/>
                <w:szCs w:val="21"/>
              </w:rPr>
            </w:pPr>
            <w:r>
              <w:rPr>
                <w:rFonts w:hint="eastAsia" w:ascii="宋体"/>
                <w:b/>
                <w:szCs w:val="21"/>
              </w:rPr>
              <w:t>（1）投标人自有人员</w:t>
            </w:r>
            <w:r>
              <w:rPr>
                <w:rFonts w:hint="eastAsia" w:ascii="宋体"/>
                <w:szCs w:val="21"/>
              </w:rPr>
              <w:t>；</w:t>
            </w:r>
          </w:p>
          <w:p>
            <w:pPr>
              <w:spacing w:line="276" w:lineRule="auto"/>
              <w:rPr>
                <w:rFonts w:hint="eastAsia" w:ascii="宋体"/>
                <w:szCs w:val="21"/>
              </w:rPr>
            </w:pPr>
            <w:r>
              <w:rPr>
                <w:rFonts w:hint="eastAsia" w:ascii="宋体"/>
                <w:b/>
                <w:szCs w:val="21"/>
              </w:rPr>
              <w:t>（2）</w:t>
            </w:r>
            <w:r>
              <w:rPr>
                <w:rFonts w:hint="eastAsia" w:ascii="宋体"/>
                <w:szCs w:val="21"/>
              </w:rPr>
              <w:t>具有</w:t>
            </w:r>
            <w:r>
              <w:rPr>
                <w:rFonts w:hint="eastAsia" w:ascii="宋体"/>
                <w:bCs/>
              </w:rPr>
              <w:t>公路工程相关专业</w:t>
            </w:r>
            <w:r>
              <w:rPr>
                <w:rFonts w:hint="eastAsia" w:ascii="黑体" w:eastAsia="黑体"/>
                <w:b/>
                <w:bCs/>
              </w:rPr>
              <w:t>高级技术职称</w:t>
            </w:r>
            <w:r>
              <w:rPr>
                <w:rFonts w:hint="eastAsia" w:ascii="宋体"/>
                <w:szCs w:val="21"/>
              </w:rPr>
              <w:t>；</w:t>
            </w:r>
          </w:p>
          <w:p>
            <w:pPr>
              <w:spacing w:line="276" w:lineRule="auto"/>
              <w:rPr>
                <w:rFonts w:hint="eastAsia" w:ascii="宋体"/>
                <w:bCs/>
                <w:szCs w:val="21"/>
              </w:rPr>
            </w:pPr>
            <w:r>
              <w:rPr>
                <w:rFonts w:hint="eastAsia" w:ascii="宋体"/>
                <w:b/>
                <w:szCs w:val="21"/>
              </w:rPr>
              <w:t>（3）</w:t>
            </w:r>
            <w:r>
              <w:rPr>
                <w:rFonts w:hint="eastAsia" w:ascii="宋体"/>
                <w:szCs w:val="21"/>
              </w:rPr>
              <w:t>持有建设主管部门颁发的有效的</w:t>
            </w:r>
            <w:r>
              <w:rPr>
                <w:rFonts w:hint="eastAsia" w:ascii="黑体" w:eastAsia="黑体"/>
                <w:b/>
                <w:bCs/>
              </w:rPr>
              <w:t>“公路工程”</w:t>
            </w:r>
            <w:r>
              <w:rPr>
                <w:rFonts w:hint="eastAsia" w:ascii="宋体"/>
                <w:szCs w:val="21"/>
              </w:rPr>
              <w:t>专业</w:t>
            </w:r>
            <w:r>
              <w:rPr>
                <w:rFonts w:hint="eastAsia" w:ascii="黑体" w:eastAsia="黑体"/>
                <w:b/>
                <w:szCs w:val="21"/>
              </w:rPr>
              <w:t>一级《建造师注册证书》</w:t>
            </w:r>
            <w:r>
              <w:rPr>
                <w:rFonts w:hint="eastAsia" w:ascii="宋体"/>
                <w:bCs/>
                <w:szCs w:val="21"/>
              </w:rPr>
              <w:t>，且现注册单位为投标人且在有效期内；</w:t>
            </w:r>
          </w:p>
          <w:p>
            <w:pPr>
              <w:spacing w:line="276" w:lineRule="auto"/>
              <w:rPr>
                <w:rFonts w:ascii="宋体"/>
                <w:bCs/>
              </w:rPr>
            </w:pPr>
            <w:r>
              <w:rPr>
                <w:rFonts w:hint="eastAsia" w:ascii="宋体"/>
                <w:b/>
                <w:szCs w:val="21"/>
              </w:rPr>
              <w:t>（4）</w:t>
            </w:r>
            <w:r>
              <w:rPr>
                <w:rFonts w:hint="eastAsia" w:ascii="宋体"/>
                <w:szCs w:val="21"/>
              </w:rPr>
              <w:t>具有</w:t>
            </w:r>
            <w:r>
              <w:rPr>
                <w:rFonts w:hint="eastAsia" w:ascii="宋体" w:hAnsi="宋体"/>
                <w:bCs/>
              </w:rPr>
              <w:t>相关部门颁发</w:t>
            </w:r>
            <w:r>
              <w:rPr>
                <w:rFonts w:hint="eastAsia" w:ascii="宋体"/>
                <w:szCs w:val="21"/>
              </w:rPr>
              <w:t>的</w:t>
            </w:r>
            <w:r>
              <w:rPr>
                <w:rFonts w:hint="eastAsia" w:ascii="黑体" w:eastAsia="黑体"/>
                <w:b/>
                <w:szCs w:val="21"/>
              </w:rPr>
              <w:t>有效的B类《安全生产考核合格证书》</w:t>
            </w:r>
            <w:r>
              <w:rPr>
                <w:rFonts w:hint="eastAsia" w:ascii="宋体"/>
                <w:szCs w:val="21"/>
              </w:rPr>
              <w:t>；</w:t>
            </w:r>
          </w:p>
          <w:p>
            <w:pPr>
              <w:spacing w:line="360" w:lineRule="exact"/>
              <w:rPr>
                <w:rFonts w:hint="eastAsia" w:ascii="宋体"/>
                <w:szCs w:val="21"/>
              </w:rPr>
            </w:pPr>
            <w:r>
              <w:rPr>
                <w:rFonts w:hint="eastAsia" w:ascii="宋体"/>
                <w:b/>
                <w:szCs w:val="21"/>
              </w:rPr>
              <w:t>（5）</w:t>
            </w:r>
            <w:r>
              <w:rPr>
                <w:rFonts w:hint="eastAsia" w:ascii="宋体"/>
                <w:szCs w:val="21"/>
              </w:rPr>
              <w:t>公路工程施工管理工作经验</w:t>
            </w:r>
            <w:r>
              <w:rPr>
                <w:rFonts w:hint="eastAsia" w:ascii="黑体" w:eastAsia="黑体"/>
                <w:b/>
                <w:szCs w:val="21"/>
              </w:rPr>
              <w:t>8年</w:t>
            </w:r>
            <w:r>
              <w:rPr>
                <w:rFonts w:hint="eastAsia" w:ascii="宋体"/>
                <w:szCs w:val="21"/>
              </w:rPr>
              <w:t>，担任过类似公路工程项目经理</w:t>
            </w:r>
            <w:r>
              <w:rPr>
                <w:rFonts w:hint="eastAsia" w:ascii="黑体" w:eastAsia="黑体"/>
                <w:b/>
                <w:szCs w:val="21"/>
              </w:rPr>
              <w:t>5年；</w:t>
            </w:r>
          </w:p>
          <w:p>
            <w:pPr>
              <w:spacing w:line="276" w:lineRule="auto"/>
              <w:rPr>
                <w:rFonts w:hint="eastAsia" w:ascii="黑体" w:eastAsia="黑体"/>
                <w:b/>
                <w:szCs w:val="21"/>
              </w:rPr>
            </w:pPr>
            <w:r>
              <w:rPr>
                <w:rFonts w:hint="eastAsia" w:ascii="宋体"/>
                <w:b/>
                <w:szCs w:val="21"/>
              </w:rPr>
              <w:t>（6）</w:t>
            </w:r>
            <w:r>
              <w:rPr>
                <w:rFonts w:hint="eastAsia" w:ascii="宋体"/>
                <w:szCs w:val="21"/>
              </w:rPr>
              <w:t>至少提供一项三级以上公路工程的</w:t>
            </w:r>
            <w:r>
              <w:rPr>
                <w:rFonts w:hint="eastAsia" w:ascii="黑体" w:eastAsia="黑体"/>
                <w:b/>
                <w:szCs w:val="21"/>
              </w:rPr>
              <w:t>项目经理业绩；</w:t>
            </w:r>
          </w:p>
          <w:p>
            <w:pPr>
              <w:spacing w:line="276" w:lineRule="auto"/>
              <w:rPr>
                <w:rFonts w:ascii="宋体" w:hAnsi="宋体"/>
                <w:bCs/>
              </w:rPr>
            </w:pPr>
            <w:r>
              <w:rPr>
                <w:rFonts w:hint="eastAsia" w:ascii="黑体" w:eastAsia="黑体"/>
                <w:b/>
                <w:szCs w:val="21"/>
              </w:rPr>
              <w:t>（7）</w:t>
            </w:r>
            <w:r>
              <w:rPr>
                <w:rFonts w:hint="eastAsia" w:ascii="宋体"/>
                <w:szCs w:val="21"/>
              </w:rPr>
              <w:t>项目经理的相关任职业绩证明材料中必须能查找出其担任职务及相应的工程内容，否则视为无效。</w:t>
            </w:r>
          </w:p>
        </w:tc>
        <w:tc>
          <w:tcPr>
            <w:tcW w:w="1701" w:type="dxa"/>
            <w:vMerge w:val="restart"/>
            <w:noWrap w:val="0"/>
            <w:vAlign w:val="center"/>
          </w:tcPr>
          <w:p>
            <w:pPr>
              <w:spacing w:line="276" w:lineRule="auto"/>
              <w:jc w:val="center"/>
              <w:rPr>
                <w:rFonts w:hint="eastAsia" w:ascii="宋体"/>
                <w:b/>
                <w:szCs w:val="21"/>
              </w:rPr>
            </w:pPr>
            <w:r>
              <w:rPr>
                <w:rFonts w:hint="eastAsia" w:ascii="宋体" w:hAnsi="宋体"/>
                <w:szCs w:val="21"/>
              </w:rPr>
              <w:t>无在岗项目（指目前未在其他项目上任职，或虽在其他项目任职但本项目中标后能够从该项目撤离）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4" w:hRule="atLeast"/>
          <w:jc w:val="center"/>
        </w:trPr>
        <w:tc>
          <w:tcPr>
            <w:tcW w:w="1307" w:type="dxa"/>
            <w:noWrap w:val="0"/>
            <w:vAlign w:val="center"/>
          </w:tcPr>
          <w:p>
            <w:pPr>
              <w:autoSpaceDE w:val="0"/>
              <w:autoSpaceDN w:val="0"/>
              <w:adjustRightInd w:val="0"/>
              <w:spacing w:line="400" w:lineRule="exact"/>
              <w:jc w:val="center"/>
              <w:rPr>
                <w:rFonts w:ascii="黑体" w:hAnsi="宋体" w:eastAsia="黑体" w:cs="宋体"/>
                <w:szCs w:val="21"/>
              </w:rPr>
            </w:pPr>
            <w:r>
              <w:rPr>
                <w:rFonts w:hint="eastAsia" w:ascii="黑体" w:hAnsi="宋体" w:eastAsia="黑体" w:cs="宋体"/>
                <w:szCs w:val="21"/>
              </w:rPr>
              <w:t>项目总工</w:t>
            </w:r>
          </w:p>
        </w:tc>
        <w:tc>
          <w:tcPr>
            <w:tcW w:w="851" w:type="dxa"/>
            <w:noWrap w:val="0"/>
            <w:vAlign w:val="center"/>
          </w:tcPr>
          <w:p>
            <w:pPr>
              <w:autoSpaceDE w:val="0"/>
              <w:autoSpaceDN w:val="0"/>
              <w:adjustRightInd w:val="0"/>
              <w:spacing w:line="400" w:lineRule="exact"/>
              <w:jc w:val="center"/>
              <w:rPr>
                <w:rFonts w:ascii="宋体" w:hAnsi="宋体" w:cs="宋体"/>
                <w:b/>
                <w:szCs w:val="21"/>
              </w:rPr>
            </w:pPr>
            <w:r>
              <w:rPr>
                <w:rFonts w:hint="eastAsia" w:ascii="宋体" w:hAnsi="宋体" w:cs="宋体"/>
                <w:b/>
                <w:szCs w:val="21"/>
              </w:rPr>
              <w:t>1</w:t>
            </w:r>
          </w:p>
        </w:tc>
        <w:tc>
          <w:tcPr>
            <w:tcW w:w="5841" w:type="dxa"/>
            <w:noWrap w:val="0"/>
            <w:vAlign w:val="center"/>
          </w:tcPr>
          <w:p>
            <w:pPr>
              <w:spacing w:line="276" w:lineRule="auto"/>
              <w:rPr>
                <w:rFonts w:hint="eastAsia" w:ascii="宋体"/>
                <w:b/>
                <w:szCs w:val="21"/>
              </w:rPr>
            </w:pPr>
            <w:r>
              <w:rPr>
                <w:rFonts w:hint="eastAsia" w:ascii="宋体"/>
                <w:b/>
                <w:szCs w:val="21"/>
              </w:rPr>
              <w:t>（1）投标人自有人员</w:t>
            </w:r>
            <w:r>
              <w:rPr>
                <w:rFonts w:hint="eastAsia" w:ascii="宋体"/>
                <w:szCs w:val="21"/>
              </w:rPr>
              <w:t>；</w:t>
            </w:r>
          </w:p>
          <w:p>
            <w:pPr>
              <w:spacing w:line="276" w:lineRule="auto"/>
              <w:rPr>
                <w:rFonts w:hint="eastAsia" w:ascii="宋体"/>
                <w:szCs w:val="21"/>
              </w:rPr>
            </w:pPr>
            <w:r>
              <w:rPr>
                <w:rFonts w:hint="eastAsia" w:ascii="宋体"/>
                <w:b/>
                <w:szCs w:val="21"/>
              </w:rPr>
              <w:t>（2）</w:t>
            </w:r>
            <w:r>
              <w:rPr>
                <w:rFonts w:hint="eastAsia" w:ascii="宋体"/>
                <w:szCs w:val="21"/>
              </w:rPr>
              <w:t>具有</w:t>
            </w:r>
            <w:r>
              <w:rPr>
                <w:rFonts w:hint="eastAsia" w:ascii="宋体"/>
                <w:bCs/>
              </w:rPr>
              <w:t>相关专业</w:t>
            </w:r>
            <w:r>
              <w:rPr>
                <w:rFonts w:hint="eastAsia" w:ascii="黑体" w:eastAsia="黑体"/>
                <w:b/>
                <w:bCs/>
              </w:rPr>
              <w:t>高级技术职称</w:t>
            </w:r>
            <w:r>
              <w:rPr>
                <w:rFonts w:hint="eastAsia" w:ascii="宋体"/>
                <w:szCs w:val="21"/>
              </w:rPr>
              <w:t>；</w:t>
            </w:r>
          </w:p>
          <w:p>
            <w:pPr>
              <w:spacing w:line="276" w:lineRule="auto"/>
              <w:rPr>
                <w:rFonts w:ascii="宋体"/>
                <w:szCs w:val="21"/>
              </w:rPr>
            </w:pPr>
            <w:r>
              <w:rPr>
                <w:rFonts w:hint="eastAsia" w:ascii="宋体"/>
                <w:b/>
                <w:szCs w:val="21"/>
              </w:rPr>
              <w:t>（3）</w:t>
            </w:r>
            <w:r>
              <w:rPr>
                <w:rFonts w:hint="eastAsia" w:ascii="宋体"/>
                <w:szCs w:val="21"/>
              </w:rPr>
              <w:t>具有</w:t>
            </w:r>
            <w:r>
              <w:rPr>
                <w:rFonts w:hint="eastAsia" w:ascii="宋体" w:hAnsi="宋体"/>
                <w:bCs/>
              </w:rPr>
              <w:t>相关部门颁发</w:t>
            </w:r>
            <w:r>
              <w:rPr>
                <w:rFonts w:hint="eastAsia" w:ascii="宋体"/>
                <w:szCs w:val="21"/>
              </w:rPr>
              <w:t>的</w:t>
            </w:r>
            <w:r>
              <w:rPr>
                <w:rFonts w:hint="eastAsia" w:ascii="黑体" w:eastAsia="黑体"/>
                <w:b/>
                <w:szCs w:val="21"/>
              </w:rPr>
              <w:t>有效的B类《安全生产考核合格证书》；</w:t>
            </w:r>
          </w:p>
          <w:p>
            <w:pPr>
              <w:autoSpaceDE w:val="0"/>
              <w:autoSpaceDN w:val="0"/>
              <w:adjustRightInd w:val="0"/>
              <w:spacing w:line="360" w:lineRule="exact"/>
              <w:rPr>
                <w:rFonts w:hint="eastAsia" w:ascii="宋体"/>
                <w:szCs w:val="21"/>
              </w:rPr>
            </w:pPr>
            <w:r>
              <w:rPr>
                <w:rFonts w:hint="eastAsia" w:ascii="宋体"/>
                <w:b/>
                <w:szCs w:val="21"/>
              </w:rPr>
              <w:t>（4）</w:t>
            </w:r>
            <w:r>
              <w:rPr>
                <w:rFonts w:hint="eastAsia" w:ascii="宋体"/>
                <w:szCs w:val="21"/>
              </w:rPr>
              <w:t>公路工程施工管理工作经验</w:t>
            </w:r>
            <w:r>
              <w:rPr>
                <w:rFonts w:hint="eastAsia" w:ascii="黑体" w:eastAsia="黑体"/>
                <w:b/>
                <w:szCs w:val="21"/>
              </w:rPr>
              <w:t>8年</w:t>
            </w:r>
            <w:r>
              <w:rPr>
                <w:rFonts w:hint="eastAsia" w:ascii="宋体"/>
                <w:szCs w:val="21"/>
              </w:rPr>
              <w:t>，担任过类似公路工程项目总工</w:t>
            </w:r>
            <w:r>
              <w:rPr>
                <w:rFonts w:hint="eastAsia" w:ascii="黑体" w:eastAsia="黑体"/>
                <w:b/>
                <w:szCs w:val="21"/>
              </w:rPr>
              <w:t>5年；</w:t>
            </w:r>
          </w:p>
          <w:p>
            <w:pPr>
              <w:autoSpaceDE w:val="0"/>
              <w:autoSpaceDN w:val="0"/>
              <w:adjustRightInd w:val="0"/>
              <w:spacing w:line="276" w:lineRule="auto"/>
              <w:rPr>
                <w:rFonts w:hint="eastAsia" w:ascii="黑体" w:eastAsia="黑体"/>
                <w:b/>
                <w:szCs w:val="21"/>
              </w:rPr>
            </w:pPr>
            <w:r>
              <w:rPr>
                <w:rFonts w:hint="eastAsia" w:ascii="宋体"/>
                <w:b/>
                <w:szCs w:val="21"/>
              </w:rPr>
              <w:t>（5）</w:t>
            </w:r>
            <w:r>
              <w:rPr>
                <w:rFonts w:hint="eastAsia" w:ascii="宋体"/>
                <w:szCs w:val="21"/>
              </w:rPr>
              <w:t>至少提供一项三级以上公路工程的</w:t>
            </w:r>
            <w:r>
              <w:rPr>
                <w:rFonts w:hint="eastAsia" w:ascii="黑体" w:eastAsia="黑体"/>
                <w:b/>
                <w:szCs w:val="21"/>
              </w:rPr>
              <w:t>项目总工业绩；</w:t>
            </w:r>
          </w:p>
          <w:p>
            <w:pPr>
              <w:autoSpaceDE w:val="0"/>
              <w:autoSpaceDN w:val="0"/>
              <w:adjustRightInd w:val="0"/>
              <w:spacing w:line="276" w:lineRule="auto"/>
              <w:rPr>
                <w:rFonts w:ascii="宋体"/>
                <w:szCs w:val="21"/>
              </w:rPr>
            </w:pPr>
            <w:r>
              <w:rPr>
                <w:rFonts w:hint="eastAsia" w:ascii="宋体"/>
                <w:b/>
                <w:szCs w:val="21"/>
              </w:rPr>
              <w:t>（6）</w:t>
            </w:r>
            <w:r>
              <w:rPr>
                <w:rFonts w:hint="eastAsia" w:ascii="宋体" w:hAnsi="宋体"/>
              </w:rPr>
              <w:t>项目总工的相关任职业绩证明材料中必须能查找出其担任职务及相应的工程内容，否则视为无效。</w:t>
            </w:r>
          </w:p>
        </w:tc>
        <w:tc>
          <w:tcPr>
            <w:tcW w:w="1701" w:type="dxa"/>
            <w:vMerge w:val="continue"/>
            <w:noWrap w:val="0"/>
            <w:vAlign w:val="top"/>
          </w:tcPr>
          <w:p>
            <w:pPr>
              <w:rPr>
                <w:rFonts w:hint="eastAsia" w:ascii="宋体"/>
                <w:b/>
                <w:szCs w:val="21"/>
              </w:rPr>
            </w:pPr>
          </w:p>
        </w:tc>
      </w:tr>
    </w:tbl>
    <w:p>
      <w:pPr>
        <w:spacing w:line="240" w:lineRule="exact"/>
        <w:jc w:val="left"/>
        <w:rPr>
          <w:rFonts w:hint="eastAsia" w:ascii="宋体" w:hAnsi="宋体"/>
          <w:b/>
          <w:szCs w:val="21"/>
        </w:rPr>
      </w:pPr>
      <w:r>
        <w:rPr>
          <w:rFonts w:hint="eastAsia" w:ascii="宋体" w:hAnsi="宋体"/>
          <w:b/>
          <w:szCs w:val="21"/>
        </w:rPr>
        <w:t>说明：</w:t>
      </w:r>
    </w:p>
    <w:p>
      <w:pPr>
        <w:spacing w:line="240" w:lineRule="exact"/>
        <w:ind w:firstLine="310" w:firstLineChars="147"/>
        <w:jc w:val="left"/>
        <w:rPr>
          <w:rFonts w:ascii="宋体" w:hAnsi="宋体"/>
          <w:b/>
          <w:szCs w:val="21"/>
        </w:rPr>
      </w:pPr>
      <w:r>
        <w:rPr>
          <w:rFonts w:hint="eastAsia" w:ascii="宋体" w:hAnsi="宋体"/>
          <w:b/>
          <w:szCs w:val="21"/>
        </w:rPr>
        <w:t>（1）本表所列人员在本项目中不得兼职。</w:t>
      </w:r>
    </w:p>
    <w:p>
      <w:pPr>
        <w:spacing w:line="240" w:lineRule="exact"/>
        <w:ind w:firstLine="306" w:firstLineChars="145"/>
        <w:jc w:val="left"/>
        <w:rPr>
          <w:rFonts w:ascii="宋体" w:hAnsi="宋体"/>
          <w:b/>
          <w:szCs w:val="21"/>
        </w:rPr>
      </w:pPr>
      <w:r>
        <w:rPr>
          <w:rFonts w:hint="eastAsia" w:ascii="宋体" w:hAnsi="宋体"/>
          <w:b/>
          <w:szCs w:val="21"/>
        </w:rPr>
        <w:t>（</w:t>
      </w:r>
      <w:r>
        <w:rPr>
          <w:rFonts w:ascii="宋体" w:hAnsi="宋体"/>
          <w:b/>
          <w:szCs w:val="21"/>
        </w:rPr>
        <w:t>2</w:t>
      </w:r>
      <w:r>
        <w:rPr>
          <w:rFonts w:hint="eastAsia" w:ascii="宋体" w:hAnsi="宋体"/>
          <w:b/>
          <w:szCs w:val="21"/>
        </w:rPr>
        <w:t>）本表中投标人自有人员指投标人为其缴纳社会保险（指养老保险）的人员，</w:t>
      </w:r>
      <w:r>
        <w:rPr>
          <w:rFonts w:ascii="宋体" w:hAnsi="宋体"/>
          <w:b/>
          <w:kern w:val="0"/>
          <w:szCs w:val="21"/>
          <w:lang w:val="zh-CN"/>
        </w:rPr>
        <w:t>参保截止日期应在申请截止时间前3个月内</w:t>
      </w:r>
      <w:r>
        <w:rPr>
          <w:rFonts w:hint="eastAsia" w:ascii="宋体" w:hAnsi="宋体"/>
          <w:b/>
          <w:kern w:val="0"/>
          <w:szCs w:val="21"/>
          <w:lang w:val="zh-CN"/>
        </w:rPr>
        <w:t>，如以联合体形式投标的，应为联合体牵头人的自有人员。</w:t>
      </w:r>
    </w:p>
    <w:p>
      <w:pPr>
        <w:spacing w:line="240" w:lineRule="exact"/>
        <w:ind w:firstLine="310" w:firstLineChars="147"/>
        <w:jc w:val="left"/>
        <w:rPr>
          <w:rFonts w:ascii="宋体" w:hAnsi="宋体"/>
          <w:b/>
          <w:szCs w:val="21"/>
        </w:rPr>
      </w:pPr>
      <w:r>
        <w:rPr>
          <w:rFonts w:hint="eastAsia" w:ascii="宋体" w:hAnsi="宋体"/>
          <w:b/>
          <w:szCs w:val="21"/>
        </w:rPr>
        <w:t>（</w:t>
      </w:r>
      <w:r>
        <w:rPr>
          <w:rFonts w:ascii="宋体" w:hAnsi="宋体"/>
          <w:b/>
          <w:szCs w:val="21"/>
        </w:rPr>
        <w:t>3</w:t>
      </w:r>
      <w:r>
        <w:rPr>
          <w:rFonts w:hint="eastAsia" w:ascii="宋体" w:hAnsi="宋体"/>
          <w:b/>
          <w:szCs w:val="21"/>
        </w:rPr>
        <w:t>）公路工程相关专业职称包括公路工程、桥梁工程、公路与桥梁工程、交通土建、隧道（地下结构）工程、交通工程等专业职称，如职称证上无专业，则需提供专业为公路工程相关专业的毕业证。</w:t>
      </w:r>
    </w:p>
    <w:p>
      <w:pPr>
        <w:spacing w:line="240" w:lineRule="exact"/>
        <w:ind w:firstLine="310" w:firstLineChars="147"/>
        <w:jc w:val="left"/>
        <w:rPr>
          <w:rFonts w:ascii="宋体" w:hAnsi="宋体"/>
          <w:b/>
          <w:szCs w:val="21"/>
        </w:rPr>
      </w:pPr>
      <w:r>
        <w:rPr>
          <w:rFonts w:hint="eastAsia" w:ascii="宋体" w:hAnsi="宋体"/>
          <w:b/>
          <w:szCs w:val="21"/>
        </w:rPr>
        <w:t>（</w:t>
      </w:r>
      <w:r>
        <w:rPr>
          <w:rFonts w:ascii="宋体" w:hAnsi="宋体"/>
          <w:b/>
          <w:szCs w:val="21"/>
        </w:rPr>
        <w:t>4</w:t>
      </w:r>
      <w:r>
        <w:rPr>
          <w:rFonts w:hint="eastAsia" w:ascii="宋体" w:hAnsi="宋体"/>
          <w:b/>
          <w:szCs w:val="21"/>
        </w:rPr>
        <w:t>）</w:t>
      </w:r>
      <w:r>
        <w:rPr>
          <w:rFonts w:ascii="宋体" w:hAnsi="宋体"/>
          <w:b/>
          <w:szCs w:val="21"/>
        </w:rPr>
        <w:t>养护工程和国外工程不能作为本次招标的业绩</w:t>
      </w:r>
      <w:r>
        <w:rPr>
          <w:rFonts w:hint="eastAsia" w:ascii="宋体" w:hAnsi="宋体"/>
          <w:b/>
          <w:szCs w:val="21"/>
        </w:rPr>
        <w:t>。</w:t>
      </w:r>
    </w:p>
    <w:p>
      <w:pPr>
        <w:spacing w:line="240" w:lineRule="exact"/>
        <w:ind w:firstLine="306" w:firstLineChars="145"/>
        <w:jc w:val="left"/>
        <w:rPr>
          <w:rFonts w:hint="eastAsia" w:ascii="宋体" w:hAnsi="宋体"/>
          <w:b/>
          <w:szCs w:val="21"/>
        </w:rPr>
      </w:pPr>
      <w:r>
        <w:rPr>
          <w:rFonts w:hint="eastAsia" w:ascii="宋体" w:hAnsi="宋体"/>
          <w:b/>
          <w:szCs w:val="21"/>
        </w:rPr>
        <w:t>（</w:t>
      </w:r>
      <w:r>
        <w:rPr>
          <w:rFonts w:ascii="宋体" w:hAnsi="宋体"/>
          <w:b/>
          <w:szCs w:val="21"/>
        </w:rPr>
        <w:t>5</w:t>
      </w:r>
      <w:r>
        <w:rPr>
          <w:rFonts w:hint="eastAsia" w:ascii="宋体" w:hAnsi="宋体"/>
          <w:b/>
          <w:szCs w:val="21"/>
        </w:rPr>
        <w:t>）招标人将在建设主管部门官方网站核实项目经理的建造师注册证书（或建造师临时执业证书）和安全生产考核合格证书，并以核实后的信息为准。投标人填报的信息与网上核实信息不符的，其投标文件不能通过评审。</w:t>
      </w:r>
    </w:p>
    <w:p>
      <w:pPr>
        <w:spacing w:line="240" w:lineRule="exact"/>
        <w:ind w:firstLine="310" w:firstLineChars="147"/>
        <w:jc w:val="left"/>
        <w:rPr>
          <w:rFonts w:hint="eastAsia" w:ascii="宋体" w:hAnsi="宋体"/>
          <w:b/>
          <w:szCs w:val="21"/>
        </w:rPr>
      </w:pPr>
      <w:r>
        <w:rPr>
          <w:rFonts w:hint="eastAsia" w:ascii="宋体" w:hAnsi="宋体"/>
          <w:b/>
          <w:szCs w:val="21"/>
        </w:rPr>
        <w:t>（6）</w:t>
      </w:r>
      <w:r>
        <w:rPr>
          <w:rFonts w:ascii="宋体" w:hAnsi="宋体"/>
          <w:b/>
          <w:szCs w:val="21"/>
        </w:rPr>
        <w:t>填报的项目经理和项目总工的任职业绩应为交通运输部“全国公路建设市场信用信息管理系统”(http://glxy.mot.gov.cn/BM/)中已载明且通过省级交通运输主管部门审核的已建主包业绩，并能够证明填报人员具有相应任职经历的业绩。在交通运输部“全国公路建设市场信用信息管理系统”中无法查询</w:t>
      </w:r>
      <w:r>
        <w:rPr>
          <w:rFonts w:hint="eastAsia" w:ascii="宋体" w:hAnsi="宋体"/>
          <w:b/>
          <w:szCs w:val="21"/>
        </w:rPr>
        <w:t>，</w:t>
      </w:r>
      <w:r>
        <w:rPr>
          <w:rFonts w:ascii="宋体" w:hAnsi="宋体"/>
          <w:b/>
          <w:szCs w:val="21"/>
        </w:rPr>
        <w:t>但可在省级交通运输主管部门</w:t>
      </w:r>
      <w:r>
        <w:rPr>
          <w:rFonts w:hint="eastAsia" w:ascii="宋体" w:hAnsi="宋体"/>
          <w:b/>
          <w:szCs w:val="21"/>
        </w:rPr>
        <w:t>“公路建设市场信用信息管理系统”中查询的，应附省级交通运输主管部门“公路建设市场信用信息管理系统”中查询到的网页截图复印件。除网页截图复印件外，投标人无须再提供任何业绩证明材料。</w:t>
      </w:r>
    </w:p>
    <w:p>
      <w:pPr>
        <w:rPr>
          <w:b/>
          <w:sz w:val="28"/>
          <w:szCs w:val="28"/>
        </w:rPr>
      </w:pPr>
      <w:r>
        <w:rPr>
          <w:rFonts w:hint="eastAsia" w:ascii="宋体" w:hAnsi="宋体"/>
          <w:b/>
          <w:szCs w:val="21"/>
        </w:rPr>
        <w:t>（7）《一级建造师临时执业证书》无效。</w:t>
      </w:r>
      <w:r>
        <w:rPr>
          <w:rFonts w:ascii="宋体" w:hAnsi="宋体"/>
          <w:b/>
          <w:szCs w:val="21"/>
        </w:rPr>
        <w:br w:type="page"/>
      </w:r>
    </w:p>
    <w:p>
      <w:pPr>
        <w:pStyle w:val="15"/>
        <w:tabs>
          <w:tab w:val="left" w:pos="426"/>
        </w:tabs>
        <w:spacing w:line="360" w:lineRule="exact"/>
        <w:jc w:val="left"/>
        <w:outlineLvl w:val="2"/>
        <w:rPr>
          <w:rFonts w:ascii="黑体" w:hAnsi="黑体" w:eastAsia="黑体"/>
          <w:b w:val="0"/>
        </w:rPr>
      </w:pPr>
      <w:bookmarkStart w:id="29" w:name="_Toc29312"/>
      <w:bookmarkStart w:id="30" w:name="_Toc441605621"/>
      <w:bookmarkStart w:id="31" w:name="_Toc523991973"/>
      <w:r>
        <w:rPr>
          <w:rFonts w:ascii="黑体" w:hAnsi="黑体" w:eastAsia="黑体"/>
          <w:b w:val="0"/>
        </w:rPr>
        <w:t xml:space="preserve">5. </w:t>
      </w:r>
      <w:r>
        <w:rPr>
          <w:rFonts w:hint="eastAsia" w:ascii="黑体" w:hAnsi="黑体" w:eastAsia="黑体"/>
          <w:b w:val="0"/>
        </w:rPr>
        <w:t>评标办法</w:t>
      </w:r>
    </w:p>
    <w:bookmarkEnd w:id="29"/>
    <w:bookmarkEnd w:id="30"/>
    <w:bookmarkEnd w:id="31"/>
    <w:p>
      <w:pPr>
        <w:pStyle w:val="2"/>
        <w:keepNext w:val="0"/>
        <w:keepLines w:val="0"/>
        <w:spacing w:before="0" w:after="0" w:line="415" w:lineRule="auto"/>
        <w:jc w:val="left"/>
        <w:rPr>
          <w:rFonts w:eastAsia="黑体"/>
          <w:b w:val="0"/>
          <w:bCs w:val="0"/>
        </w:rPr>
      </w:pPr>
      <w:bookmarkStart w:id="32" w:name="_Toc19608040"/>
      <w:r>
        <w:rPr>
          <w:rFonts w:eastAsia="黑体"/>
          <w:b w:val="0"/>
          <w:bCs w:val="0"/>
        </w:rPr>
        <w:t>评标办法前附表</w:t>
      </w:r>
      <w:bookmarkEnd w:id="32"/>
    </w:p>
    <w:tbl>
      <w:tblPr>
        <w:tblStyle w:val="7"/>
        <w:tblW w:w="9487" w:type="dxa"/>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394"/>
        <w:gridCol w:w="7159"/>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blHeader/>
        </w:trPr>
        <w:tc>
          <w:tcPr>
            <w:tcW w:w="2328" w:type="dxa"/>
            <w:gridSpan w:val="2"/>
            <w:tcBorders>
              <w:top w:val="single" w:color="auto" w:sz="4" w:space="0"/>
            </w:tcBorders>
            <w:noWrap w:val="0"/>
            <w:vAlign w:val="center"/>
          </w:tcPr>
          <w:p>
            <w:pPr>
              <w:autoSpaceDE w:val="0"/>
              <w:autoSpaceDN w:val="0"/>
              <w:adjustRightInd w:val="0"/>
              <w:spacing w:line="400" w:lineRule="exact"/>
              <w:jc w:val="center"/>
              <w:rPr>
                <w:rFonts w:ascii="Times New Roman" w:hAnsi="Times New Roman"/>
                <w:bCs/>
                <w:szCs w:val="21"/>
                <w:lang w:val="zh-CN"/>
              </w:rPr>
            </w:pPr>
            <w:r>
              <w:rPr>
                <w:rFonts w:ascii="Times New Roman" w:hAnsi="Times New Roman"/>
                <w:bCs/>
                <w:szCs w:val="21"/>
                <w:lang w:val="zh-CN"/>
              </w:rPr>
              <w:t>条款号</w:t>
            </w:r>
          </w:p>
        </w:tc>
        <w:tc>
          <w:tcPr>
            <w:tcW w:w="7159" w:type="dxa"/>
            <w:tcBorders>
              <w:top w:val="single" w:color="auto" w:sz="4" w:space="0"/>
            </w:tcBorders>
            <w:noWrap w:val="0"/>
            <w:vAlign w:val="center"/>
          </w:tcPr>
          <w:p>
            <w:pPr>
              <w:autoSpaceDE w:val="0"/>
              <w:autoSpaceDN w:val="0"/>
              <w:adjustRightInd w:val="0"/>
              <w:spacing w:line="400" w:lineRule="exact"/>
              <w:jc w:val="center"/>
              <w:rPr>
                <w:rFonts w:ascii="Times New Roman" w:hAnsi="Times New Roman"/>
                <w:bCs/>
                <w:szCs w:val="21"/>
                <w:lang w:val="zh-CN"/>
              </w:rPr>
            </w:pPr>
            <w:r>
              <w:rPr>
                <w:rFonts w:ascii="Times New Roman" w:hAnsi="Times New Roman"/>
                <w:bCs/>
                <w:szCs w:val="21"/>
                <w:lang w:val="zh-CN"/>
              </w:rPr>
              <w:t>评审因素与标准</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934" w:type="dxa"/>
            <w:noWrap w:val="0"/>
            <w:vAlign w:val="center"/>
          </w:tcPr>
          <w:p>
            <w:pPr>
              <w:autoSpaceDE w:val="0"/>
              <w:autoSpaceDN w:val="0"/>
              <w:adjustRightInd w:val="0"/>
              <w:spacing w:line="400" w:lineRule="exact"/>
              <w:jc w:val="center"/>
              <w:rPr>
                <w:rFonts w:ascii="Times New Roman" w:hAnsi="Times New Roman"/>
                <w:bCs/>
                <w:szCs w:val="21"/>
                <w:lang w:val="zh-CN"/>
              </w:rPr>
            </w:pPr>
            <w:r>
              <w:rPr>
                <w:rFonts w:ascii="Times New Roman" w:hAnsi="Times New Roman"/>
                <w:bCs/>
                <w:szCs w:val="21"/>
                <w:lang w:val="zh-CN"/>
              </w:rPr>
              <w:t>1</w:t>
            </w:r>
          </w:p>
        </w:tc>
        <w:tc>
          <w:tcPr>
            <w:tcW w:w="1394" w:type="dxa"/>
            <w:noWrap w:val="0"/>
            <w:vAlign w:val="center"/>
          </w:tcPr>
          <w:p>
            <w:pPr>
              <w:autoSpaceDE w:val="0"/>
              <w:autoSpaceDN w:val="0"/>
              <w:adjustRightInd w:val="0"/>
              <w:spacing w:line="400" w:lineRule="exact"/>
              <w:jc w:val="center"/>
              <w:rPr>
                <w:rFonts w:ascii="Times New Roman" w:hAnsi="Times New Roman"/>
                <w:bCs/>
                <w:szCs w:val="21"/>
                <w:lang w:val="zh-CN"/>
              </w:rPr>
            </w:pPr>
            <w:r>
              <w:rPr>
                <w:rFonts w:ascii="Times New Roman" w:hAnsi="Times New Roman"/>
                <w:bCs/>
                <w:szCs w:val="21"/>
                <w:lang w:val="zh-CN"/>
              </w:rPr>
              <w:t>评标办法</w:t>
            </w:r>
          </w:p>
        </w:tc>
        <w:tc>
          <w:tcPr>
            <w:tcW w:w="7159" w:type="dxa"/>
            <w:noWrap w:val="0"/>
            <w:vAlign w:val="center"/>
          </w:tcPr>
          <w:p>
            <w:pPr>
              <w:autoSpaceDE w:val="0"/>
              <w:autoSpaceDN w:val="0"/>
              <w:adjustRightInd w:val="0"/>
              <w:spacing w:line="320" w:lineRule="exact"/>
              <w:rPr>
                <w:rFonts w:ascii="宋体"/>
              </w:rPr>
            </w:pPr>
            <w:r>
              <w:rPr>
                <w:rFonts w:hint="eastAsia" w:ascii="宋体" w:hAnsi="宋体"/>
              </w:rPr>
              <w:t>本款修改为：</w:t>
            </w:r>
          </w:p>
          <w:p>
            <w:pPr>
              <w:autoSpaceDE w:val="0"/>
              <w:autoSpaceDN w:val="0"/>
              <w:adjustRightInd w:val="0"/>
              <w:spacing w:line="320" w:lineRule="exact"/>
              <w:ind w:firstLine="420" w:firstLineChars="200"/>
              <w:rPr>
                <w:rFonts w:ascii="宋体"/>
                <w:bCs/>
                <w:lang w:val="zh-CN"/>
              </w:rPr>
            </w:pPr>
            <w:r>
              <w:rPr>
                <w:rFonts w:hint="eastAsia" w:ascii="宋体" w:hAnsi="宋体"/>
              </w:rPr>
              <w:t>本次评标采用</w:t>
            </w:r>
            <w:r>
              <w:rPr>
                <w:rFonts w:hint="eastAsia" w:ascii="黑体" w:hAnsi="黑体" w:eastAsia="黑体"/>
                <w:b/>
              </w:rPr>
              <w:t>双信封技术评分最低标价法</w:t>
            </w:r>
            <w:r>
              <w:rPr>
                <w:rFonts w:hint="eastAsia" w:ascii="宋体" w:hAnsi="宋体"/>
              </w:rPr>
              <w:t>。评标委员会对通过投标文件第一个信封（商务及技术文件）评审，综合评分前三名的</w:t>
            </w:r>
            <w:r>
              <w:rPr>
                <w:rFonts w:hint="eastAsia" w:ascii="宋体" w:hAnsi="宋体"/>
                <w:kern w:val="0"/>
                <w:lang w:val="zh-CN"/>
              </w:rPr>
              <w:t>投标文件</w:t>
            </w:r>
            <w:r>
              <w:rPr>
                <w:rFonts w:hint="eastAsia" w:ascii="宋体" w:hAnsi="宋体"/>
              </w:rPr>
              <w:t>第二个信封（报价文件）进行开标，按评标价由低到高的顺序</w:t>
            </w:r>
            <w:r>
              <w:rPr>
                <w:rFonts w:hint="eastAsia" w:ascii="黑体" w:hAnsi="黑体" w:eastAsia="黑体"/>
                <w:b/>
              </w:rPr>
              <w:t>推荐三名中标候选人</w:t>
            </w:r>
            <w:r>
              <w:rPr>
                <w:rFonts w:hint="eastAsia" w:ascii="宋体" w:hAnsi="宋体"/>
              </w:rPr>
              <w:t>，</w:t>
            </w:r>
            <w:r>
              <w:rPr>
                <w:rFonts w:hint="eastAsia" w:ascii="宋体" w:hAnsi="宋体"/>
                <w:bCs/>
                <w:lang w:val="zh-CN"/>
              </w:rPr>
              <w:t>但投标报价低于其成本的除外。</w:t>
            </w:r>
            <w:r>
              <w:rPr>
                <w:rFonts w:hint="eastAsia" w:ascii="宋体" w:hAnsi="宋体"/>
              </w:rPr>
              <w:t>本项目设置投标控制价上限，高于投标控制价上限作废标处理。如评标委员会认为投标报价低于成本的，评标委员会将否决其投标。</w:t>
            </w:r>
          </w:p>
          <w:p>
            <w:pPr>
              <w:autoSpaceDE w:val="0"/>
              <w:autoSpaceDN w:val="0"/>
              <w:adjustRightInd w:val="0"/>
              <w:spacing w:line="320" w:lineRule="exact"/>
              <w:ind w:firstLine="420" w:firstLineChars="200"/>
              <w:rPr>
                <w:rFonts w:ascii="宋体"/>
              </w:rPr>
            </w:pPr>
            <w:r>
              <w:rPr>
                <w:rFonts w:hint="eastAsia" w:ascii="宋体" w:hAnsi="宋体"/>
              </w:rPr>
              <w:t>招标评标程序简介如下：</w:t>
            </w:r>
          </w:p>
          <w:p>
            <w:pPr>
              <w:autoSpaceDE w:val="0"/>
              <w:autoSpaceDN w:val="0"/>
              <w:adjustRightInd w:val="0"/>
              <w:spacing w:line="320" w:lineRule="exact"/>
              <w:ind w:firstLine="420" w:firstLineChars="200"/>
              <w:rPr>
                <w:rFonts w:ascii="宋体"/>
              </w:rPr>
            </w:pPr>
            <w:r>
              <w:rPr>
                <w:rFonts w:hint="eastAsia" w:ascii="宋体" w:hAnsi="宋体"/>
              </w:rPr>
              <w:t>（</w:t>
            </w:r>
            <w:r>
              <w:rPr>
                <w:rFonts w:ascii="宋体" w:hAnsi="宋体"/>
              </w:rPr>
              <w:t>1</w:t>
            </w:r>
            <w:r>
              <w:rPr>
                <w:rFonts w:hint="eastAsia" w:ascii="宋体" w:hAnsi="宋体"/>
              </w:rPr>
              <w:t>）招标人按照第二章</w:t>
            </w:r>
            <w:r>
              <w:rPr>
                <w:rFonts w:hint="eastAsia" w:ascii="宋体"/>
              </w:rPr>
              <w:t>“</w:t>
            </w:r>
            <w:r>
              <w:rPr>
                <w:rFonts w:hint="eastAsia" w:ascii="宋体" w:hAnsi="宋体"/>
              </w:rPr>
              <w:t>投标人须知</w:t>
            </w:r>
            <w:r>
              <w:rPr>
                <w:rFonts w:hint="eastAsia" w:ascii="宋体"/>
              </w:rPr>
              <w:t>”</w:t>
            </w:r>
            <w:r>
              <w:rPr>
                <w:rFonts w:hint="eastAsia" w:ascii="黑体" w:hAnsi="黑体" w:eastAsia="黑体"/>
                <w:b/>
              </w:rPr>
              <w:t>第</w:t>
            </w:r>
            <w:r>
              <w:rPr>
                <w:rFonts w:ascii="黑体" w:hAnsi="黑体" w:eastAsia="黑体"/>
                <w:b/>
              </w:rPr>
              <w:t>5.2.1</w:t>
            </w:r>
            <w:r>
              <w:rPr>
                <w:rFonts w:hint="eastAsia" w:ascii="黑体" w:hAnsi="黑体" w:eastAsia="黑体"/>
                <w:b/>
              </w:rPr>
              <w:t>项</w:t>
            </w:r>
            <w:r>
              <w:rPr>
                <w:rFonts w:hint="eastAsia" w:ascii="宋体" w:hAnsi="宋体"/>
              </w:rPr>
              <w:t>的规定对投标文件第一个信封（商务及技术文件）进行开标。</w:t>
            </w:r>
          </w:p>
          <w:p>
            <w:pPr>
              <w:autoSpaceDE w:val="0"/>
              <w:autoSpaceDN w:val="0"/>
              <w:adjustRightInd w:val="0"/>
              <w:spacing w:line="320" w:lineRule="exact"/>
              <w:ind w:firstLine="420" w:firstLineChars="200"/>
              <w:rPr>
                <w:rFonts w:hint="eastAsia" w:ascii="宋体" w:hAnsi="宋体"/>
              </w:rPr>
            </w:pPr>
            <w:r>
              <w:rPr>
                <w:rFonts w:hint="eastAsia" w:ascii="宋体" w:hAnsi="宋体"/>
              </w:rPr>
              <w:t>（</w:t>
            </w:r>
            <w:r>
              <w:rPr>
                <w:rFonts w:ascii="宋体" w:hAnsi="宋体"/>
              </w:rPr>
              <w:t>2</w:t>
            </w:r>
            <w:r>
              <w:rPr>
                <w:rFonts w:hint="eastAsia" w:ascii="宋体" w:hAnsi="宋体"/>
              </w:rPr>
              <w:t>）评标委员会首先对投标文件第一个信封（商务及技术文件）进行评审、评分，确定通过投标文件第一个信封（商务及技术文件）评审的投标人名单及排序。</w:t>
            </w:r>
          </w:p>
          <w:p>
            <w:pPr>
              <w:adjustRightInd w:val="0"/>
              <w:snapToGrid w:val="0"/>
              <w:spacing w:before="46" w:beforeLines="15" w:after="46" w:afterLines="15" w:line="360" w:lineRule="exact"/>
              <w:ind w:firstLine="422" w:firstLineChars="200"/>
              <w:rPr>
                <w:rFonts w:ascii="黑体" w:hAnsi="黑体" w:eastAsia="黑体"/>
                <w:b/>
              </w:rPr>
            </w:pPr>
            <w:r>
              <w:rPr>
                <w:rFonts w:hint="eastAsia" w:ascii="黑体" w:hAnsi="黑体" w:eastAsia="黑体"/>
                <w:b/>
              </w:rPr>
              <w:t>如同一标段出现多名投标人的第一个信封（商务及技术文件）综合得分相等时，则按照以下所列顺位在前的优先：</w:t>
            </w:r>
          </w:p>
          <w:p>
            <w:pPr>
              <w:adjustRightInd w:val="0"/>
              <w:snapToGrid w:val="0"/>
              <w:spacing w:before="62" w:beforeLines="20" w:after="62" w:afterLines="20" w:line="360" w:lineRule="exact"/>
              <w:ind w:firstLine="630" w:firstLineChars="300"/>
              <w:rPr>
                <w:rFonts w:ascii="宋体"/>
              </w:rPr>
            </w:pPr>
            <w:r>
              <w:rPr>
                <w:rFonts w:ascii="宋体" w:hAnsi="宋体"/>
              </w:rPr>
              <w:t>a</w:t>
            </w:r>
            <w:r>
              <w:rPr>
                <w:rFonts w:ascii="宋体"/>
              </w:rPr>
              <w:t>.</w:t>
            </w:r>
            <w:r>
              <w:rPr>
                <w:rFonts w:hint="eastAsia" w:ascii="宋体" w:hAnsi="宋体"/>
              </w:rPr>
              <w:t>施工组织设计得分较高者；</w:t>
            </w:r>
          </w:p>
          <w:p>
            <w:pPr>
              <w:adjustRightInd w:val="0"/>
              <w:snapToGrid w:val="0"/>
              <w:spacing w:before="62" w:beforeLines="20" w:after="62" w:afterLines="20" w:line="360" w:lineRule="exact"/>
              <w:ind w:firstLine="630" w:firstLineChars="300"/>
              <w:rPr>
                <w:rFonts w:ascii="宋体"/>
              </w:rPr>
            </w:pPr>
            <w:r>
              <w:rPr>
                <w:rFonts w:ascii="宋体" w:hAnsi="宋体"/>
              </w:rPr>
              <w:t>b</w:t>
            </w:r>
            <w:r>
              <w:rPr>
                <w:rFonts w:ascii="宋体"/>
              </w:rPr>
              <w:t>.</w:t>
            </w:r>
            <w:r>
              <w:rPr>
                <w:rFonts w:hint="eastAsia" w:ascii="宋体" w:hAnsi="宋体"/>
              </w:rPr>
              <w:t>履约信誉得分较高者；</w:t>
            </w:r>
          </w:p>
          <w:p>
            <w:pPr>
              <w:adjustRightInd w:val="0"/>
              <w:snapToGrid w:val="0"/>
              <w:spacing w:before="62" w:beforeLines="20" w:after="62" w:afterLines="20" w:line="360" w:lineRule="exact"/>
              <w:ind w:firstLine="630" w:firstLineChars="300"/>
              <w:rPr>
                <w:rFonts w:ascii="宋体"/>
              </w:rPr>
            </w:pPr>
            <w:r>
              <w:rPr>
                <w:rFonts w:ascii="宋体" w:hAnsi="宋体"/>
              </w:rPr>
              <w:t>c</w:t>
            </w:r>
            <w:r>
              <w:rPr>
                <w:rFonts w:ascii="宋体"/>
              </w:rPr>
              <w:t>.</w:t>
            </w:r>
            <w:r>
              <w:rPr>
                <w:rFonts w:hint="eastAsia" w:ascii="宋体" w:hAnsi="宋体"/>
              </w:rPr>
              <w:t>主要人员得分较高者；</w:t>
            </w:r>
          </w:p>
          <w:p>
            <w:pPr>
              <w:adjustRightInd w:val="0"/>
              <w:snapToGrid w:val="0"/>
              <w:spacing w:before="62" w:beforeLines="20" w:after="62" w:afterLines="20" w:line="360" w:lineRule="exact"/>
              <w:ind w:firstLine="630" w:firstLineChars="300"/>
              <w:rPr>
                <w:rFonts w:ascii="宋体"/>
              </w:rPr>
            </w:pPr>
            <w:r>
              <w:rPr>
                <w:rFonts w:ascii="宋体" w:hAnsi="宋体"/>
              </w:rPr>
              <w:t>d</w:t>
            </w:r>
            <w:r>
              <w:rPr>
                <w:rFonts w:ascii="宋体"/>
              </w:rPr>
              <w:t>.</w:t>
            </w:r>
            <w:r>
              <w:rPr>
                <w:rFonts w:hint="eastAsia" w:ascii="宋体" w:hAnsi="宋体"/>
              </w:rPr>
              <w:t>技术能力得分较高者。</w:t>
            </w:r>
          </w:p>
          <w:p>
            <w:pPr>
              <w:autoSpaceDE w:val="0"/>
              <w:autoSpaceDN w:val="0"/>
              <w:adjustRightInd w:val="0"/>
              <w:spacing w:line="320" w:lineRule="exact"/>
              <w:ind w:firstLine="420" w:firstLineChars="200"/>
              <w:rPr>
                <w:rFonts w:ascii="宋体"/>
              </w:rPr>
            </w:pPr>
            <w:r>
              <w:rPr>
                <w:rFonts w:hint="eastAsia"/>
              </w:rPr>
              <w:t>若第一个信封评审时以上各项评分因素得分都相等，则通过评委会投票表决，推荐票数多的投标人排序在先。</w:t>
            </w:r>
          </w:p>
          <w:p>
            <w:pPr>
              <w:autoSpaceDE w:val="0"/>
              <w:autoSpaceDN w:val="0"/>
              <w:adjustRightInd w:val="0"/>
              <w:spacing w:line="320" w:lineRule="exact"/>
              <w:ind w:firstLine="420" w:firstLineChars="200"/>
              <w:rPr>
                <w:rFonts w:ascii="宋体"/>
              </w:rPr>
            </w:pPr>
            <w:r>
              <w:rPr>
                <w:rFonts w:hint="eastAsia" w:ascii="宋体" w:hAnsi="宋体"/>
              </w:rPr>
              <w:t>（</w:t>
            </w:r>
            <w:r>
              <w:rPr>
                <w:rFonts w:ascii="宋体" w:hAnsi="宋体"/>
              </w:rPr>
              <w:t>3</w:t>
            </w:r>
            <w:r>
              <w:rPr>
                <w:rFonts w:hint="eastAsia" w:ascii="宋体" w:hAnsi="宋体"/>
              </w:rPr>
              <w:t>）招标人按照第二章</w:t>
            </w:r>
            <w:r>
              <w:rPr>
                <w:rFonts w:hint="eastAsia" w:ascii="宋体"/>
              </w:rPr>
              <w:t>“</w:t>
            </w:r>
            <w:r>
              <w:rPr>
                <w:rFonts w:hint="eastAsia" w:ascii="宋体" w:hAnsi="宋体"/>
              </w:rPr>
              <w:t>投标人须知</w:t>
            </w:r>
            <w:r>
              <w:rPr>
                <w:rFonts w:hint="eastAsia" w:ascii="宋体"/>
              </w:rPr>
              <w:t>”</w:t>
            </w:r>
            <w:r>
              <w:rPr>
                <w:rFonts w:hint="eastAsia" w:ascii="黑体" w:hAnsi="黑体" w:eastAsia="黑体"/>
                <w:b/>
              </w:rPr>
              <w:t>第</w:t>
            </w:r>
            <w:r>
              <w:rPr>
                <w:rFonts w:ascii="黑体" w:hAnsi="黑体" w:eastAsia="黑体"/>
                <w:b/>
              </w:rPr>
              <w:t>5.2.</w:t>
            </w:r>
            <w:r>
              <w:rPr>
                <w:rFonts w:hint="eastAsia" w:ascii="黑体" w:hAnsi="黑体" w:eastAsia="黑体"/>
                <w:b/>
              </w:rPr>
              <w:t>3项</w:t>
            </w:r>
            <w:r>
              <w:rPr>
                <w:rFonts w:hint="eastAsia" w:ascii="宋体" w:hAnsi="宋体"/>
              </w:rPr>
              <w:t>的规定对通过第一信封评审且综合评分前三名的投标人其第二个信封（报价文件）进行开标。</w:t>
            </w:r>
          </w:p>
          <w:p>
            <w:pPr>
              <w:autoSpaceDE w:val="0"/>
              <w:autoSpaceDN w:val="0"/>
              <w:adjustRightInd w:val="0"/>
              <w:spacing w:line="320" w:lineRule="exact"/>
              <w:ind w:firstLine="420" w:firstLineChars="200"/>
              <w:rPr>
                <w:rFonts w:ascii="宋体"/>
              </w:rPr>
            </w:pPr>
            <w:r>
              <w:rPr>
                <w:rFonts w:hint="eastAsia" w:ascii="宋体" w:hAnsi="宋体"/>
              </w:rPr>
              <w:t>（</w:t>
            </w:r>
            <w:r>
              <w:rPr>
                <w:rFonts w:ascii="宋体" w:hAnsi="宋体"/>
              </w:rPr>
              <w:t>4</w:t>
            </w:r>
            <w:r>
              <w:rPr>
                <w:rFonts w:hint="eastAsia" w:ascii="宋体" w:hAnsi="宋体"/>
              </w:rPr>
              <w:t>）评标委员会对开标的投标文件第二个信封（报价文件）进行评审，并按评标价由低到高的顺序推荐三名中标候选人。</w:t>
            </w:r>
          </w:p>
          <w:p>
            <w:pPr>
              <w:autoSpaceDE w:val="0"/>
              <w:autoSpaceDN w:val="0"/>
              <w:adjustRightInd w:val="0"/>
              <w:spacing w:line="320" w:lineRule="exact"/>
              <w:ind w:firstLine="420" w:firstLineChars="200"/>
              <w:rPr>
                <w:rFonts w:ascii="Times New Roman" w:hAnsi="Times New Roman"/>
                <w:szCs w:val="21"/>
              </w:rPr>
            </w:pPr>
            <w:r>
              <w:rPr>
                <w:rFonts w:hint="eastAsia" w:ascii="宋体" w:hAnsi="宋体"/>
              </w:rPr>
              <w:t>检查是否有围标、串标情况，如有相关投标文件将被否决。</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0" w:hRule="atLeast"/>
        </w:trPr>
        <w:tc>
          <w:tcPr>
            <w:tcW w:w="934" w:type="dxa"/>
            <w:tcBorders>
              <w:top w:val="single" w:color="auto" w:sz="4" w:space="0"/>
              <w:bottom w:val="single" w:color="auto" w:sz="4" w:space="0"/>
            </w:tcBorders>
            <w:noWrap w:val="0"/>
            <w:vAlign w:val="center"/>
          </w:tcPr>
          <w:p>
            <w:pPr>
              <w:autoSpaceDE w:val="0"/>
              <w:autoSpaceDN w:val="0"/>
              <w:adjustRightInd w:val="0"/>
              <w:spacing w:line="400" w:lineRule="exact"/>
              <w:jc w:val="center"/>
              <w:rPr>
                <w:rFonts w:ascii="Times New Roman" w:hAnsi="Times New Roman"/>
                <w:bCs/>
                <w:szCs w:val="21"/>
                <w:lang w:val="zh-CN"/>
              </w:rPr>
            </w:pPr>
            <w:r>
              <w:rPr>
                <w:rFonts w:ascii="Times New Roman" w:hAnsi="Times New Roman"/>
                <w:bCs/>
                <w:szCs w:val="21"/>
                <w:lang w:val="zh-CN"/>
              </w:rPr>
              <w:t>2.1.1</w:t>
            </w:r>
          </w:p>
        </w:tc>
        <w:tc>
          <w:tcPr>
            <w:tcW w:w="1394" w:type="dxa"/>
            <w:tcBorders>
              <w:top w:val="single" w:color="auto" w:sz="4" w:space="0"/>
              <w:bottom w:val="single" w:color="auto" w:sz="4" w:space="0"/>
            </w:tcBorders>
            <w:noWrap w:val="0"/>
            <w:vAlign w:val="center"/>
          </w:tcPr>
          <w:p>
            <w:pPr>
              <w:autoSpaceDE w:val="0"/>
              <w:autoSpaceDN w:val="0"/>
              <w:adjustRightInd w:val="0"/>
              <w:spacing w:line="400" w:lineRule="exact"/>
              <w:jc w:val="center"/>
              <w:rPr>
                <w:rFonts w:ascii="Times New Roman" w:hAnsi="Times New Roman"/>
                <w:bCs/>
                <w:szCs w:val="21"/>
                <w:lang w:val="zh-CN"/>
              </w:rPr>
            </w:pPr>
            <w:r>
              <w:rPr>
                <w:rFonts w:ascii="Times New Roman" w:hAnsi="Times New Roman" w:eastAsia="黑体"/>
                <w:szCs w:val="21"/>
              </w:rPr>
              <w:t>第一</w:t>
            </w:r>
            <w:r>
              <w:rPr>
                <w:rFonts w:hint="eastAsia" w:ascii="Times New Roman" w:hAnsi="Times New Roman" w:eastAsia="黑体"/>
                <w:szCs w:val="21"/>
              </w:rPr>
              <w:t>个</w:t>
            </w:r>
            <w:r>
              <w:rPr>
                <w:rFonts w:ascii="Times New Roman" w:hAnsi="Times New Roman" w:eastAsia="黑体"/>
                <w:szCs w:val="21"/>
              </w:rPr>
              <w:t>信封</w:t>
            </w:r>
          </w:p>
          <w:p>
            <w:pPr>
              <w:autoSpaceDE w:val="0"/>
              <w:autoSpaceDN w:val="0"/>
              <w:adjustRightInd w:val="0"/>
              <w:spacing w:line="400" w:lineRule="exact"/>
              <w:jc w:val="center"/>
              <w:rPr>
                <w:rFonts w:ascii="Times New Roman" w:hAnsi="Times New Roman"/>
                <w:bCs/>
                <w:szCs w:val="21"/>
                <w:lang w:val="zh-CN"/>
              </w:rPr>
            </w:pPr>
            <w:r>
              <w:rPr>
                <w:rFonts w:ascii="Times New Roman" w:hAnsi="Times New Roman"/>
                <w:bCs/>
                <w:szCs w:val="21"/>
                <w:lang w:val="zh-CN"/>
              </w:rPr>
              <w:t>形式评审</w:t>
            </w:r>
          </w:p>
          <w:p>
            <w:pPr>
              <w:autoSpaceDE w:val="0"/>
              <w:autoSpaceDN w:val="0"/>
              <w:adjustRightInd w:val="0"/>
              <w:spacing w:line="400" w:lineRule="exact"/>
              <w:jc w:val="center"/>
              <w:rPr>
                <w:rFonts w:ascii="Times New Roman" w:hAnsi="Times New Roman"/>
                <w:bCs/>
                <w:szCs w:val="21"/>
                <w:lang w:val="zh-CN"/>
              </w:rPr>
            </w:pPr>
            <w:r>
              <w:rPr>
                <w:rFonts w:ascii="Times New Roman" w:hAnsi="Times New Roman"/>
                <w:bCs/>
                <w:szCs w:val="21"/>
                <w:lang w:val="zh-CN"/>
              </w:rPr>
              <w:t>与响应性</w:t>
            </w:r>
          </w:p>
          <w:p>
            <w:pPr>
              <w:autoSpaceDE w:val="0"/>
              <w:autoSpaceDN w:val="0"/>
              <w:adjustRightInd w:val="0"/>
              <w:spacing w:line="400" w:lineRule="exact"/>
              <w:jc w:val="center"/>
              <w:rPr>
                <w:rFonts w:ascii="Times New Roman" w:hAnsi="Times New Roman"/>
                <w:bCs/>
                <w:szCs w:val="21"/>
                <w:lang w:val="zh-CN"/>
              </w:rPr>
            </w:pPr>
            <w:r>
              <w:rPr>
                <w:rFonts w:ascii="Times New Roman" w:hAnsi="Times New Roman"/>
                <w:bCs/>
                <w:szCs w:val="21"/>
                <w:lang w:val="zh-CN"/>
              </w:rPr>
              <w:t>评审标准</w:t>
            </w:r>
          </w:p>
        </w:tc>
        <w:tc>
          <w:tcPr>
            <w:tcW w:w="7159" w:type="dxa"/>
            <w:tcBorders>
              <w:top w:val="single" w:color="auto" w:sz="4" w:space="0"/>
              <w:bottom w:val="single" w:color="auto" w:sz="4" w:space="0"/>
            </w:tcBorders>
            <w:noWrap w:val="0"/>
            <w:vAlign w:val="center"/>
          </w:tcPr>
          <w:p>
            <w:pPr>
              <w:adjustRightInd w:val="0"/>
              <w:snapToGrid w:val="0"/>
              <w:rPr>
                <w:rFonts w:ascii="Times New Roman" w:hAnsi="Times New Roman" w:eastAsia="黑体"/>
                <w:szCs w:val="21"/>
              </w:rPr>
            </w:pPr>
            <w:r>
              <w:rPr>
                <w:rFonts w:ascii="Times New Roman" w:hAnsi="Times New Roman" w:eastAsia="黑体"/>
                <w:szCs w:val="21"/>
              </w:rPr>
              <w:t>第一</w:t>
            </w:r>
            <w:r>
              <w:rPr>
                <w:rFonts w:hint="eastAsia" w:ascii="Times New Roman" w:hAnsi="Times New Roman" w:eastAsia="黑体"/>
                <w:szCs w:val="21"/>
              </w:rPr>
              <w:t>个</w:t>
            </w:r>
            <w:r>
              <w:rPr>
                <w:rFonts w:ascii="Times New Roman" w:hAnsi="Times New Roman" w:eastAsia="黑体"/>
                <w:szCs w:val="21"/>
              </w:rPr>
              <w:t>信封（商务及技术文件）</w:t>
            </w:r>
          </w:p>
          <w:p>
            <w:pPr>
              <w:autoSpaceDE w:val="0"/>
              <w:autoSpaceDN w:val="0"/>
              <w:adjustRightInd w:val="0"/>
              <w:spacing w:line="320" w:lineRule="exact"/>
              <w:ind w:firstLine="420" w:firstLineChars="200"/>
              <w:jc w:val="left"/>
              <w:rPr>
                <w:rFonts w:ascii="Times New Roman" w:hAnsi="Times New Roman"/>
                <w:bCs/>
                <w:szCs w:val="21"/>
                <w:lang w:val="zh-CN"/>
              </w:rPr>
            </w:pPr>
            <w:r>
              <w:rPr>
                <w:rFonts w:ascii="Times New Roman" w:hAnsi="Times New Roman"/>
                <w:bCs/>
                <w:szCs w:val="21"/>
                <w:lang w:val="zh-CN"/>
              </w:rPr>
              <w:t>(1)投标文件按照招标文件规定的格式、内容填写，字迹清晰可辨：</w:t>
            </w:r>
          </w:p>
          <w:p>
            <w:pPr>
              <w:autoSpaceDE w:val="0"/>
              <w:autoSpaceDN w:val="0"/>
              <w:adjustRightInd w:val="0"/>
              <w:spacing w:line="320" w:lineRule="exact"/>
              <w:ind w:firstLine="420" w:firstLineChars="200"/>
              <w:jc w:val="left"/>
              <w:rPr>
                <w:rFonts w:ascii="Times New Roman" w:hAnsi="Times New Roman"/>
                <w:bCs/>
                <w:szCs w:val="21"/>
                <w:lang w:val="zh-CN"/>
              </w:rPr>
            </w:pPr>
            <w:r>
              <w:rPr>
                <w:rFonts w:ascii="Times New Roman" w:hAnsi="Times New Roman"/>
                <w:bCs/>
                <w:szCs w:val="21"/>
                <w:lang w:val="zh-CN"/>
              </w:rPr>
              <w:t>a.投标函按招标文件规定填报了项目名称、标段号、补遗书编号（如有）、工期、工程质量要求及安全目标 ；</w:t>
            </w:r>
          </w:p>
          <w:p>
            <w:pPr>
              <w:autoSpaceDE w:val="0"/>
              <w:autoSpaceDN w:val="0"/>
              <w:adjustRightInd w:val="0"/>
              <w:spacing w:line="320" w:lineRule="exact"/>
              <w:ind w:firstLine="420" w:firstLineChars="200"/>
              <w:jc w:val="left"/>
              <w:rPr>
                <w:rFonts w:ascii="Times New Roman" w:hAnsi="Times New Roman"/>
                <w:bCs/>
                <w:szCs w:val="21"/>
                <w:lang w:val="zh-CN"/>
              </w:rPr>
            </w:pPr>
            <w:r>
              <w:rPr>
                <w:rFonts w:ascii="Times New Roman" w:hAnsi="Times New Roman"/>
                <w:bCs/>
                <w:szCs w:val="21"/>
                <w:lang w:val="zh-CN"/>
              </w:rPr>
              <w:t>b.投标函附录的所有数据均符合招标文件规定</w:t>
            </w:r>
            <w:r>
              <w:rPr>
                <w:rFonts w:hint="eastAsia" w:ascii="Times New Roman" w:hAnsi="Times New Roman"/>
                <w:bCs/>
                <w:szCs w:val="21"/>
                <w:lang w:val="zh-CN"/>
              </w:rPr>
              <w:t>；</w:t>
            </w:r>
          </w:p>
          <w:p>
            <w:pPr>
              <w:autoSpaceDE w:val="0"/>
              <w:autoSpaceDN w:val="0"/>
              <w:adjustRightInd w:val="0"/>
              <w:spacing w:line="320" w:lineRule="exact"/>
              <w:ind w:firstLine="420" w:firstLineChars="200"/>
              <w:jc w:val="left"/>
              <w:rPr>
                <w:rFonts w:hint="eastAsia" w:ascii="Times New Roman" w:hAnsi="Times New Roman"/>
                <w:bCs/>
                <w:szCs w:val="21"/>
                <w:lang w:val="zh-CN"/>
              </w:rPr>
            </w:pPr>
            <w:r>
              <w:rPr>
                <w:rFonts w:ascii="Times New Roman" w:hAnsi="Times New Roman"/>
                <w:bCs/>
                <w:szCs w:val="21"/>
                <w:lang w:val="zh-CN"/>
              </w:rPr>
              <w:t>c.投标文件组成齐全完整 ，内容均按规定填写 。</w:t>
            </w:r>
          </w:p>
          <w:p>
            <w:pPr>
              <w:autoSpaceDE w:val="0"/>
              <w:autoSpaceDN w:val="0"/>
              <w:adjustRightInd w:val="0"/>
              <w:spacing w:line="320" w:lineRule="exact"/>
              <w:ind w:firstLine="315" w:firstLineChars="150"/>
              <w:jc w:val="left"/>
              <w:rPr>
                <w:rFonts w:ascii="Times New Roman" w:hAnsi="Times New Roman"/>
                <w:bCs/>
                <w:szCs w:val="21"/>
                <w:lang w:val="zh-CN"/>
              </w:rPr>
            </w:pPr>
            <w:r>
              <w:rPr>
                <w:rFonts w:ascii="Times New Roman" w:hAnsi="Times New Roman"/>
                <w:bCs/>
                <w:szCs w:val="21"/>
                <w:lang w:val="zh-CN"/>
              </w:rPr>
              <w:t xml:space="preserve"> (2)投标文件上法定代表人或其授权代理人的签字、投标人的单位章盖章齐全，符合招标文件规定</w:t>
            </w:r>
            <w:r>
              <w:rPr>
                <w:rFonts w:hint="eastAsia" w:ascii="Times New Roman" w:hAnsi="Times New Roman"/>
                <w:bCs/>
                <w:szCs w:val="21"/>
                <w:lang w:val="zh-CN"/>
              </w:rPr>
              <w:t>。</w:t>
            </w:r>
          </w:p>
          <w:p>
            <w:pPr>
              <w:adjustRightInd w:val="0"/>
              <w:snapToGrid w:val="0"/>
              <w:spacing w:before="31" w:beforeLines="10" w:after="31" w:afterLines="10"/>
              <w:ind w:firstLine="420" w:firstLineChars="200"/>
              <w:rPr>
                <w:rFonts w:ascii="Times New Roman" w:hAnsi="Times New Roman"/>
                <w:bCs/>
                <w:szCs w:val="21"/>
                <w:lang w:val="zh-CN"/>
              </w:rPr>
            </w:pPr>
            <w:r>
              <w:rPr>
                <w:rFonts w:ascii="Times New Roman" w:hAnsi="Times New Roman"/>
                <w:bCs/>
                <w:szCs w:val="21"/>
                <w:lang w:val="zh-CN"/>
              </w:rPr>
              <w:t>(3)</w:t>
            </w:r>
            <w:r>
              <w:rPr>
                <w:rFonts w:hint="eastAsia" w:ascii="宋体" w:hAnsi="宋体"/>
                <w:szCs w:val="21"/>
              </w:rPr>
              <w:t xml:space="preserve"> 投标人按照招标文件规定提供了投标保证金：</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2" w:hRule="atLeast"/>
        </w:trPr>
        <w:tc>
          <w:tcPr>
            <w:tcW w:w="934" w:type="dxa"/>
            <w:tcBorders>
              <w:top w:val="single" w:color="auto" w:sz="4" w:space="0"/>
              <w:bottom w:val="nil"/>
            </w:tcBorders>
            <w:noWrap w:val="0"/>
            <w:vAlign w:val="center"/>
          </w:tcPr>
          <w:p>
            <w:pPr>
              <w:autoSpaceDE w:val="0"/>
              <w:autoSpaceDN w:val="0"/>
              <w:adjustRightInd w:val="0"/>
              <w:spacing w:line="400" w:lineRule="exact"/>
              <w:jc w:val="center"/>
              <w:rPr>
                <w:rFonts w:ascii="Times New Roman" w:hAnsi="Times New Roman"/>
                <w:bCs/>
                <w:szCs w:val="21"/>
                <w:lang w:val="zh-CN"/>
              </w:rPr>
            </w:pPr>
          </w:p>
        </w:tc>
        <w:tc>
          <w:tcPr>
            <w:tcW w:w="1394" w:type="dxa"/>
            <w:tcBorders>
              <w:top w:val="single" w:color="auto" w:sz="4" w:space="0"/>
              <w:bottom w:val="single" w:color="auto" w:sz="4" w:space="0"/>
            </w:tcBorders>
            <w:noWrap w:val="0"/>
            <w:vAlign w:val="center"/>
          </w:tcPr>
          <w:p>
            <w:pPr>
              <w:autoSpaceDE w:val="0"/>
              <w:autoSpaceDN w:val="0"/>
              <w:adjustRightInd w:val="0"/>
              <w:spacing w:line="400" w:lineRule="exact"/>
              <w:jc w:val="center"/>
              <w:rPr>
                <w:rFonts w:ascii="Times New Roman" w:hAnsi="Times New Roman" w:eastAsia="黑体"/>
                <w:szCs w:val="21"/>
              </w:rPr>
            </w:pPr>
          </w:p>
        </w:tc>
        <w:tc>
          <w:tcPr>
            <w:tcW w:w="7159" w:type="dxa"/>
            <w:tcBorders>
              <w:top w:val="single" w:color="auto" w:sz="4" w:space="0"/>
              <w:bottom w:val="single" w:color="auto" w:sz="4" w:space="0"/>
            </w:tcBorders>
            <w:noWrap w:val="0"/>
            <w:vAlign w:val="center"/>
          </w:tcPr>
          <w:p>
            <w:pPr>
              <w:autoSpaceDE w:val="0"/>
              <w:autoSpaceDN w:val="0"/>
              <w:adjustRightInd w:val="0"/>
              <w:spacing w:line="320" w:lineRule="exact"/>
              <w:ind w:firstLine="420" w:firstLineChars="200"/>
              <w:jc w:val="left"/>
              <w:rPr>
                <w:rFonts w:ascii="Times New Roman" w:hAnsi="Times New Roman"/>
                <w:bCs/>
                <w:szCs w:val="21"/>
                <w:lang w:val="zh-CN"/>
              </w:rPr>
            </w:pPr>
            <w:r>
              <w:rPr>
                <w:rFonts w:hint="eastAsia" w:ascii="Times New Roman" w:hAnsi="Times New Roman"/>
                <w:bCs/>
                <w:szCs w:val="21"/>
                <w:lang w:val="zh-CN"/>
              </w:rPr>
              <w:t>a.投标保证金金额符合招标文件规定的金额，且投标保证金有效期不少于投标有效期；</w:t>
            </w:r>
          </w:p>
          <w:p>
            <w:pPr>
              <w:autoSpaceDE w:val="0"/>
              <w:autoSpaceDN w:val="0"/>
              <w:adjustRightInd w:val="0"/>
              <w:spacing w:line="320" w:lineRule="exact"/>
              <w:ind w:firstLine="420" w:firstLineChars="200"/>
              <w:jc w:val="left"/>
              <w:rPr>
                <w:rFonts w:hint="eastAsia" w:ascii="Times New Roman" w:hAnsi="Times New Roman"/>
                <w:bCs/>
                <w:szCs w:val="21"/>
                <w:lang w:val="zh-CN"/>
              </w:rPr>
            </w:pPr>
            <w:r>
              <w:rPr>
                <w:rFonts w:hint="eastAsia" w:ascii="Times New Roman" w:hAnsi="Times New Roman"/>
                <w:bCs/>
                <w:szCs w:val="21"/>
                <w:lang w:val="zh-CN"/>
              </w:rPr>
              <w:t>b.</w:t>
            </w:r>
            <w:r>
              <w:rPr>
                <w:rFonts w:ascii="Times New Roman" w:hAnsi="Times New Roman"/>
                <w:bCs/>
                <w:szCs w:val="21"/>
                <w:lang w:val="zh-CN"/>
              </w:rPr>
              <w:t xml:space="preserve"> 若投标保证金采用现金或支票形式提交，投标人应在递交投标文件截止时间之前，将投标保证金由投标人的基本账户转入招标人指定账户；</w:t>
            </w:r>
          </w:p>
          <w:p>
            <w:pPr>
              <w:autoSpaceDE w:val="0"/>
              <w:autoSpaceDN w:val="0"/>
              <w:adjustRightInd w:val="0"/>
              <w:spacing w:line="320" w:lineRule="exact"/>
              <w:ind w:firstLine="420" w:firstLineChars="200"/>
              <w:jc w:val="left"/>
              <w:rPr>
                <w:rFonts w:ascii="Times New Roman" w:hAnsi="Times New Roman"/>
                <w:bCs/>
                <w:szCs w:val="21"/>
                <w:lang w:val="zh-CN"/>
              </w:rPr>
            </w:pPr>
            <w:r>
              <w:rPr>
                <w:rFonts w:hint="eastAsia" w:ascii="Times New Roman" w:hAnsi="Times New Roman"/>
                <w:bCs/>
                <w:szCs w:val="21"/>
                <w:lang w:val="zh-CN"/>
              </w:rPr>
              <w:t>c．</w:t>
            </w:r>
            <w:r>
              <w:rPr>
                <w:rFonts w:ascii="Times New Roman" w:hAnsi="Times New Roman"/>
                <w:bCs/>
                <w:szCs w:val="21"/>
                <w:lang w:val="zh-CN"/>
              </w:rPr>
              <w:t>若投标保证金采用银行保函形式提交，银行保函的格式、开具保函的银行均满足招标文件要求，且在递交投标文件截止时间之前向招标人提交了银行保函原件。</w:t>
            </w:r>
          </w:p>
          <w:p>
            <w:pPr>
              <w:autoSpaceDE w:val="0"/>
              <w:autoSpaceDN w:val="0"/>
              <w:adjustRightInd w:val="0"/>
              <w:spacing w:line="320" w:lineRule="exact"/>
              <w:ind w:firstLine="420" w:firstLineChars="200"/>
              <w:jc w:val="left"/>
              <w:rPr>
                <w:rFonts w:hint="eastAsia" w:ascii="Times New Roman" w:hAnsi="Times New Roman"/>
                <w:szCs w:val="24"/>
              </w:rPr>
            </w:pPr>
            <w:r>
              <w:rPr>
                <w:rFonts w:ascii="Times New Roman" w:hAnsi="Times New Roman"/>
                <w:bCs/>
                <w:szCs w:val="21"/>
                <w:lang w:val="zh-CN"/>
              </w:rPr>
              <w:t>(4)</w:t>
            </w:r>
            <w:r>
              <w:rPr>
                <w:rFonts w:ascii="Times New Roman" w:hAnsi="Times New Roman"/>
                <w:szCs w:val="24"/>
              </w:rPr>
              <w:t xml:space="preserve"> 投标人法定代表人授权委托代理人签署投标文件的，须提交授权委托书，且授权人和被授权人均在授权委托书上签名，未使用印章、签名章或其他电子制版签名代替。</w:t>
            </w:r>
          </w:p>
          <w:p>
            <w:pPr>
              <w:autoSpaceDE w:val="0"/>
              <w:autoSpaceDN w:val="0"/>
              <w:adjustRightInd w:val="0"/>
              <w:spacing w:line="320" w:lineRule="exact"/>
              <w:ind w:firstLine="420" w:firstLineChars="200"/>
              <w:jc w:val="left"/>
              <w:rPr>
                <w:rFonts w:hint="eastAsia" w:ascii="宋体" w:hAnsi="宋体"/>
                <w:szCs w:val="21"/>
              </w:rPr>
            </w:pPr>
            <w:r>
              <w:rPr>
                <w:rFonts w:ascii="Times New Roman" w:hAnsi="Times New Roman"/>
                <w:bCs/>
                <w:szCs w:val="21"/>
                <w:lang w:val="zh-CN"/>
              </w:rPr>
              <w:t>(5)</w:t>
            </w:r>
            <w:r>
              <w:rPr>
                <w:rFonts w:ascii="宋体" w:hAnsi="宋体"/>
                <w:szCs w:val="21"/>
              </w:rPr>
              <w:t>投标人法定代表人亲自签署投标文件的，提供了法定代表人身份证明，且法定代表人在法定代表人身份证明上签名，未使用印章、签名章或其他电子制版签名代替。</w:t>
            </w:r>
          </w:p>
          <w:p>
            <w:pPr>
              <w:autoSpaceDE w:val="0"/>
              <w:autoSpaceDN w:val="0"/>
              <w:adjustRightInd w:val="0"/>
              <w:spacing w:line="320" w:lineRule="exact"/>
              <w:ind w:firstLine="420" w:firstLineChars="200"/>
              <w:jc w:val="left"/>
              <w:rPr>
                <w:rFonts w:ascii="Times New Roman" w:hAnsi="Times New Roman"/>
                <w:bCs/>
                <w:szCs w:val="21"/>
                <w:lang w:val="zh-CN"/>
              </w:rPr>
            </w:pPr>
            <w:r>
              <w:rPr>
                <w:rFonts w:ascii="Times New Roman" w:hAnsi="Times New Roman"/>
                <w:bCs/>
                <w:szCs w:val="21"/>
                <w:lang w:val="zh-CN"/>
              </w:rPr>
              <w:t>(6)投标人以联合体形式投标时</w:t>
            </w:r>
            <w:r>
              <w:rPr>
                <w:rFonts w:hint="eastAsia" w:ascii="Times New Roman" w:hAnsi="Times New Roman"/>
                <w:bCs/>
                <w:szCs w:val="21"/>
                <w:lang w:val="zh-CN"/>
              </w:rPr>
              <w:t>，</w:t>
            </w:r>
            <w:r>
              <w:rPr>
                <w:rFonts w:ascii="Times New Roman" w:hAnsi="Times New Roman"/>
                <w:bCs/>
                <w:szCs w:val="21"/>
                <w:lang w:val="zh-CN"/>
              </w:rPr>
              <w:t>联合体满足招标文件的要求</w:t>
            </w:r>
            <w:r>
              <w:rPr>
                <w:rFonts w:hint="eastAsia" w:ascii="Times New Roman" w:hAnsi="Times New Roman"/>
                <w:bCs/>
                <w:szCs w:val="21"/>
                <w:lang w:val="zh-CN"/>
              </w:rPr>
              <w:t>：</w:t>
            </w:r>
            <w:r>
              <w:rPr>
                <w:rFonts w:ascii="Times New Roman" w:hAnsi="Times New Roman"/>
                <w:bCs/>
                <w:szCs w:val="21"/>
                <w:lang w:val="zh-CN"/>
              </w:rPr>
              <w:t>投标人按照招标文件提供的格式签订了联合体协议书</w:t>
            </w:r>
            <w:r>
              <w:rPr>
                <w:rFonts w:hint="eastAsia" w:ascii="Times New Roman" w:hAnsi="Times New Roman"/>
                <w:bCs/>
                <w:szCs w:val="21"/>
                <w:lang w:val="zh-CN"/>
              </w:rPr>
              <w:t>，</w:t>
            </w:r>
            <w:r>
              <w:rPr>
                <w:rFonts w:ascii="Times New Roman" w:hAnsi="Times New Roman"/>
                <w:bCs/>
                <w:szCs w:val="21"/>
                <w:lang w:val="zh-CN"/>
              </w:rPr>
              <w:t>明确各方承担连带责任</w:t>
            </w:r>
            <w:r>
              <w:rPr>
                <w:rFonts w:hint="eastAsia" w:ascii="Times New Roman" w:hAnsi="Times New Roman"/>
                <w:bCs/>
                <w:szCs w:val="21"/>
                <w:lang w:val="zh-CN"/>
              </w:rPr>
              <w:t>，</w:t>
            </w:r>
            <w:r>
              <w:rPr>
                <w:rFonts w:ascii="Times New Roman" w:hAnsi="Times New Roman"/>
                <w:bCs/>
                <w:szCs w:val="21"/>
                <w:lang w:val="zh-CN"/>
              </w:rPr>
              <w:t>并明确了联合体牵头人。</w:t>
            </w:r>
          </w:p>
          <w:p>
            <w:pPr>
              <w:autoSpaceDE w:val="0"/>
              <w:autoSpaceDN w:val="0"/>
              <w:adjustRightInd w:val="0"/>
              <w:spacing w:line="320" w:lineRule="exact"/>
              <w:ind w:firstLine="420" w:firstLineChars="200"/>
              <w:jc w:val="left"/>
              <w:rPr>
                <w:rFonts w:hint="eastAsia" w:ascii="宋体" w:hAnsi="宋体" w:cs="宋体"/>
                <w:bCs/>
                <w:szCs w:val="21"/>
                <w:lang w:val="zh-CN"/>
              </w:rPr>
            </w:pPr>
            <w:r>
              <w:rPr>
                <w:rFonts w:ascii="Times New Roman" w:hAnsi="Times New Roman"/>
                <w:bCs/>
                <w:szCs w:val="21"/>
                <w:lang w:val="zh-CN"/>
              </w:rPr>
              <w:t>(7)投标人</w:t>
            </w:r>
            <w:r>
              <w:rPr>
                <w:rFonts w:hint="eastAsia" w:ascii="Times New Roman" w:hAnsi="Times New Roman"/>
                <w:bCs/>
                <w:szCs w:val="21"/>
                <w:lang w:val="zh-CN"/>
              </w:rPr>
              <w:t>未有分包计划</w:t>
            </w:r>
            <w:r>
              <w:rPr>
                <w:rFonts w:hint="eastAsia" w:ascii="宋体" w:hAnsi="宋体" w:cs="宋体"/>
                <w:bCs/>
                <w:szCs w:val="21"/>
                <w:lang w:val="zh-CN"/>
              </w:rPr>
              <w:t>。</w:t>
            </w:r>
          </w:p>
          <w:p>
            <w:pPr>
              <w:autoSpaceDE w:val="0"/>
              <w:autoSpaceDN w:val="0"/>
              <w:adjustRightInd w:val="0"/>
              <w:spacing w:line="320" w:lineRule="exact"/>
              <w:ind w:firstLine="420" w:firstLineChars="200"/>
              <w:jc w:val="left"/>
              <w:rPr>
                <w:rFonts w:ascii="Times New Roman" w:hAnsi="Times New Roman"/>
                <w:bCs/>
                <w:szCs w:val="21"/>
                <w:lang w:val="zh-CN"/>
              </w:rPr>
            </w:pPr>
            <w:r>
              <w:rPr>
                <w:rFonts w:ascii="Times New Roman" w:hAnsi="Times New Roman"/>
                <w:bCs/>
                <w:szCs w:val="21"/>
                <w:lang w:val="zh-CN"/>
              </w:rPr>
              <w:t>(8)同一投标人未提交两个以上不同的投标文件，但招标文件要求提交备选投标的除外。</w:t>
            </w:r>
          </w:p>
          <w:p>
            <w:pPr>
              <w:autoSpaceDE w:val="0"/>
              <w:autoSpaceDN w:val="0"/>
              <w:adjustRightInd w:val="0"/>
              <w:spacing w:line="320" w:lineRule="exact"/>
              <w:ind w:firstLine="420" w:firstLineChars="200"/>
              <w:jc w:val="left"/>
              <w:rPr>
                <w:rFonts w:ascii="Times New Roman" w:hAnsi="Times New Roman"/>
                <w:bCs/>
                <w:szCs w:val="21"/>
                <w:lang w:val="zh-CN"/>
              </w:rPr>
            </w:pPr>
            <w:r>
              <w:rPr>
                <w:rFonts w:ascii="Times New Roman" w:hAnsi="Times New Roman"/>
                <w:bCs/>
                <w:szCs w:val="21"/>
                <w:lang w:val="zh-CN"/>
              </w:rPr>
              <w:t>(</w:t>
            </w:r>
            <w:r>
              <w:rPr>
                <w:rFonts w:hint="eastAsia" w:ascii="Times New Roman" w:hAnsi="Times New Roman"/>
                <w:bCs/>
                <w:szCs w:val="21"/>
                <w:lang w:val="zh-CN"/>
              </w:rPr>
              <w:t>9</w:t>
            </w:r>
            <w:r>
              <w:rPr>
                <w:rFonts w:ascii="Times New Roman" w:hAnsi="Times New Roman"/>
                <w:bCs/>
                <w:szCs w:val="21"/>
                <w:lang w:val="zh-CN"/>
              </w:rPr>
              <w:t>)</w:t>
            </w:r>
            <w:r>
              <w:rPr>
                <w:rFonts w:hint="eastAsia" w:ascii="Times New Roman" w:hAnsi="Times New Roman"/>
                <w:bCs/>
                <w:szCs w:val="21"/>
                <w:lang w:val="zh-CN"/>
              </w:rPr>
              <w:t>投标文件中</w:t>
            </w:r>
            <w:r>
              <w:rPr>
                <w:rFonts w:ascii="Times New Roman" w:hAnsi="Times New Roman"/>
                <w:bCs/>
                <w:szCs w:val="21"/>
                <w:lang w:val="zh-CN"/>
              </w:rPr>
              <w:t>未出现有关投标报价的内容。</w:t>
            </w:r>
          </w:p>
          <w:p>
            <w:pPr>
              <w:autoSpaceDE w:val="0"/>
              <w:autoSpaceDN w:val="0"/>
              <w:adjustRightInd w:val="0"/>
              <w:spacing w:line="320" w:lineRule="exact"/>
              <w:ind w:firstLine="420" w:firstLineChars="200"/>
              <w:jc w:val="left"/>
              <w:rPr>
                <w:rFonts w:ascii="Times New Roman" w:hAnsi="Times New Roman"/>
                <w:bCs/>
                <w:szCs w:val="21"/>
                <w:lang w:val="zh-CN"/>
              </w:rPr>
            </w:pPr>
            <w:r>
              <w:rPr>
                <w:rFonts w:ascii="Times New Roman" w:hAnsi="Times New Roman"/>
                <w:bCs/>
                <w:szCs w:val="21"/>
                <w:lang w:val="zh-CN"/>
              </w:rPr>
              <w:t>(</w:t>
            </w:r>
            <w:r>
              <w:rPr>
                <w:rFonts w:hint="eastAsia" w:ascii="Times New Roman" w:hAnsi="Times New Roman"/>
                <w:bCs/>
                <w:szCs w:val="21"/>
                <w:lang w:val="zh-CN"/>
              </w:rPr>
              <w:t>10</w:t>
            </w:r>
            <w:r>
              <w:rPr>
                <w:rFonts w:ascii="Times New Roman" w:hAnsi="Times New Roman"/>
                <w:bCs/>
                <w:szCs w:val="21"/>
                <w:lang w:val="zh-CN"/>
              </w:rPr>
              <w:t>)投标文件载明的招标项目完成期限未超过招标文件规定的时限。</w:t>
            </w:r>
          </w:p>
          <w:p>
            <w:pPr>
              <w:autoSpaceDE w:val="0"/>
              <w:autoSpaceDN w:val="0"/>
              <w:adjustRightInd w:val="0"/>
              <w:spacing w:line="320" w:lineRule="exact"/>
              <w:ind w:firstLine="420" w:firstLineChars="200"/>
              <w:jc w:val="left"/>
              <w:rPr>
                <w:rFonts w:ascii="Times New Roman" w:hAnsi="Times New Roman"/>
                <w:bCs/>
                <w:szCs w:val="21"/>
                <w:lang w:val="zh-CN"/>
              </w:rPr>
            </w:pPr>
            <w:r>
              <w:rPr>
                <w:rFonts w:ascii="Times New Roman" w:hAnsi="Times New Roman"/>
                <w:bCs/>
                <w:szCs w:val="21"/>
                <w:lang w:val="zh-CN"/>
              </w:rPr>
              <w:t>(1</w:t>
            </w:r>
            <w:r>
              <w:rPr>
                <w:rFonts w:hint="eastAsia" w:ascii="Times New Roman" w:hAnsi="Times New Roman"/>
                <w:bCs/>
                <w:szCs w:val="21"/>
                <w:lang w:val="zh-CN"/>
              </w:rPr>
              <w:t>1</w:t>
            </w:r>
            <w:r>
              <w:rPr>
                <w:rFonts w:ascii="Times New Roman" w:hAnsi="Times New Roman"/>
                <w:bCs/>
                <w:szCs w:val="21"/>
                <w:lang w:val="zh-CN"/>
              </w:rPr>
              <w:t>)投标文件</w:t>
            </w:r>
            <w:r>
              <w:rPr>
                <w:rFonts w:ascii="宋体" w:hAnsi="宋体" w:cs="宋体"/>
                <w:kern w:val="0"/>
                <w:sz w:val="22"/>
              </w:rPr>
              <w:t>对</w:t>
            </w:r>
            <w:r>
              <w:rPr>
                <w:rFonts w:ascii="Times New Roman" w:hAnsi="Times New Roman"/>
                <w:bCs/>
                <w:szCs w:val="21"/>
                <w:lang w:val="zh-CN"/>
              </w:rPr>
              <w:t>招标文件的实质性要求和条件作出响应。</w:t>
            </w:r>
          </w:p>
          <w:p>
            <w:pPr>
              <w:autoSpaceDE w:val="0"/>
              <w:autoSpaceDN w:val="0"/>
              <w:adjustRightInd w:val="0"/>
              <w:spacing w:line="320" w:lineRule="exact"/>
              <w:ind w:firstLine="420" w:firstLineChars="200"/>
              <w:jc w:val="left"/>
              <w:rPr>
                <w:rFonts w:ascii="Times New Roman" w:hAnsi="Times New Roman"/>
                <w:bCs/>
                <w:szCs w:val="21"/>
                <w:lang w:val="zh-CN"/>
              </w:rPr>
            </w:pPr>
            <w:r>
              <w:rPr>
                <w:rFonts w:ascii="Times New Roman" w:hAnsi="Times New Roman"/>
                <w:bCs/>
                <w:szCs w:val="21"/>
                <w:lang w:val="zh-CN"/>
              </w:rPr>
              <w:t>(1</w:t>
            </w:r>
            <w:r>
              <w:rPr>
                <w:rFonts w:hint="eastAsia" w:ascii="Times New Roman" w:hAnsi="Times New Roman"/>
                <w:bCs/>
                <w:szCs w:val="21"/>
                <w:lang w:val="zh-CN"/>
              </w:rPr>
              <w:t>2</w:t>
            </w:r>
            <w:r>
              <w:rPr>
                <w:rFonts w:ascii="Times New Roman" w:hAnsi="Times New Roman"/>
                <w:bCs/>
                <w:szCs w:val="21"/>
                <w:lang w:val="zh-CN"/>
              </w:rPr>
              <w:t>)权利义务符合招标文件规定：</w:t>
            </w:r>
          </w:p>
          <w:p>
            <w:pPr>
              <w:autoSpaceDE w:val="0"/>
              <w:autoSpaceDN w:val="0"/>
              <w:adjustRightInd w:val="0"/>
              <w:spacing w:line="320" w:lineRule="exact"/>
              <w:ind w:firstLine="360"/>
              <w:jc w:val="left"/>
              <w:rPr>
                <w:rFonts w:ascii="Times New Roman" w:hAnsi="Times New Roman"/>
                <w:bCs/>
                <w:szCs w:val="21"/>
                <w:lang w:val="zh-CN"/>
              </w:rPr>
            </w:pPr>
            <w:r>
              <w:rPr>
                <w:rFonts w:ascii="Times New Roman" w:hAnsi="Times New Roman"/>
                <w:bCs/>
                <w:szCs w:val="21"/>
                <w:lang w:val="zh-CN"/>
              </w:rPr>
              <w:t>a.投标人应接受招标文件规定的风险划分原则，未提出新的风险划分办法；</w:t>
            </w:r>
          </w:p>
          <w:p>
            <w:pPr>
              <w:autoSpaceDE w:val="0"/>
              <w:autoSpaceDN w:val="0"/>
              <w:adjustRightInd w:val="0"/>
              <w:spacing w:line="320" w:lineRule="exact"/>
              <w:ind w:firstLine="360"/>
              <w:jc w:val="left"/>
              <w:rPr>
                <w:rFonts w:ascii="Times New Roman" w:hAnsi="Times New Roman"/>
                <w:bCs/>
                <w:szCs w:val="21"/>
                <w:lang w:val="zh-CN"/>
              </w:rPr>
            </w:pPr>
            <w:r>
              <w:rPr>
                <w:rFonts w:ascii="Times New Roman" w:hAnsi="Times New Roman"/>
                <w:bCs/>
                <w:szCs w:val="21"/>
                <w:lang w:val="zh-CN"/>
              </w:rPr>
              <w:t>b.投标人未增加发包人的责任范围</w:t>
            </w:r>
            <w:r>
              <w:rPr>
                <w:rFonts w:hint="eastAsia" w:ascii="Times New Roman" w:hAnsi="Times New Roman"/>
                <w:bCs/>
                <w:szCs w:val="21"/>
                <w:lang w:val="zh-CN"/>
              </w:rPr>
              <w:t>，</w:t>
            </w:r>
            <w:r>
              <w:rPr>
                <w:rFonts w:ascii="Times New Roman" w:hAnsi="Times New Roman"/>
                <w:bCs/>
                <w:szCs w:val="21"/>
                <w:lang w:val="zh-CN"/>
              </w:rPr>
              <w:t>或减少投标人的义务；</w:t>
            </w:r>
          </w:p>
          <w:p>
            <w:pPr>
              <w:autoSpaceDE w:val="0"/>
              <w:autoSpaceDN w:val="0"/>
              <w:adjustRightInd w:val="0"/>
              <w:spacing w:line="320" w:lineRule="exact"/>
              <w:ind w:firstLine="360"/>
              <w:jc w:val="left"/>
              <w:rPr>
                <w:rFonts w:ascii="Times New Roman" w:hAnsi="Times New Roman"/>
                <w:bCs/>
                <w:szCs w:val="21"/>
                <w:lang w:val="zh-CN"/>
              </w:rPr>
            </w:pPr>
            <w:r>
              <w:rPr>
                <w:rFonts w:ascii="Times New Roman" w:hAnsi="Times New Roman"/>
                <w:bCs/>
                <w:szCs w:val="21"/>
                <w:lang w:val="zh-CN"/>
              </w:rPr>
              <w:t>c.投标人未提出不同的工程验收、计量、支付办法；</w:t>
            </w:r>
          </w:p>
          <w:p>
            <w:pPr>
              <w:autoSpaceDE w:val="0"/>
              <w:autoSpaceDN w:val="0"/>
              <w:adjustRightInd w:val="0"/>
              <w:spacing w:line="320" w:lineRule="exact"/>
              <w:ind w:firstLine="360"/>
              <w:jc w:val="left"/>
              <w:rPr>
                <w:rFonts w:ascii="Times New Roman" w:hAnsi="Times New Roman"/>
                <w:bCs/>
                <w:szCs w:val="21"/>
                <w:lang w:val="zh-CN"/>
              </w:rPr>
            </w:pPr>
            <w:r>
              <w:rPr>
                <w:rFonts w:ascii="Times New Roman" w:hAnsi="Times New Roman"/>
                <w:bCs/>
                <w:szCs w:val="21"/>
                <w:lang w:val="zh-CN"/>
              </w:rPr>
              <w:t>d.投标人对合同纠纷、事故处理办法未提出异议；</w:t>
            </w:r>
          </w:p>
          <w:p>
            <w:pPr>
              <w:autoSpaceDE w:val="0"/>
              <w:autoSpaceDN w:val="0"/>
              <w:adjustRightInd w:val="0"/>
              <w:spacing w:line="320" w:lineRule="exact"/>
              <w:ind w:firstLine="360"/>
              <w:jc w:val="left"/>
              <w:rPr>
                <w:rFonts w:ascii="Times New Roman" w:hAnsi="Times New Roman"/>
                <w:bCs/>
                <w:szCs w:val="21"/>
                <w:lang w:val="zh-CN"/>
              </w:rPr>
            </w:pPr>
            <w:r>
              <w:rPr>
                <w:rFonts w:ascii="Times New Roman" w:hAnsi="Times New Roman"/>
                <w:bCs/>
                <w:szCs w:val="21"/>
                <w:lang w:val="zh-CN"/>
              </w:rPr>
              <w:t>e.投标人在投标活动中无欺诈行为；</w:t>
            </w:r>
          </w:p>
          <w:p>
            <w:pPr>
              <w:autoSpaceDE w:val="0"/>
              <w:autoSpaceDN w:val="0"/>
              <w:adjustRightInd w:val="0"/>
              <w:spacing w:line="320" w:lineRule="exact"/>
              <w:ind w:firstLine="360"/>
              <w:jc w:val="left"/>
              <w:rPr>
                <w:rFonts w:hint="eastAsia" w:ascii="Times New Roman" w:hAnsi="Times New Roman"/>
                <w:bCs/>
                <w:szCs w:val="21"/>
                <w:lang w:val="zh-CN"/>
              </w:rPr>
            </w:pPr>
            <w:r>
              <w:rPr>
                <w:rFonts w:ascii="Times New Roman" w:hAnsi="Times New Roman"/>
                <w:bCs/>
                <w:szCs w:val="21"/>
                <w:lang w:val="zh-CN"/>
              </w:rPr>
              <w:t>f.投标人未对合同条款有重要保留。</w:t>
            </w:r>
          </w:p>
          <w:p>
            <w:pPr>
              <w:autoSpaceDE w:val="0"/>
              <w:autoSpaceDN w:val="0"/>
              <w:adjustRightInd w:val="0"/>
              <w:spacing w:line="320" w:lineRule="exact"/>
              <w:ind w:firstLine="360"/>
              <w:jc w:val="left"/>
              <w:rPr>
                <w:rFonts w:ascii="Times New Roman" w:hAnsi="Times New Roman" w:eastAsia="黑体"/>
                <w:szCs w:val="21"/>
              </w:rPr>
            </w:pPr>
            <w:r>
              <w:rPr>
                <w:rFonts w:ascii="Times New Roman" w:hAnsi="Times New Roman"/>
                <w:bCs/>
                <w:szCs w:val="21"/>
                <w:lang w:val="zh-CN"/>
              </w:rPr>
              <w:t>(1</w:t>
            </w:r>
            <w:r>
              <w:rPr>
                <w:rFonts w:hint="eastAsia" w:ascii="Times New Roman" w:hAnsi="Times New Roman"/>
                <w:bCs/>
                <w:szCs w:val="21"/>
                <w:lang w:val="zh-CN"/>
              </w:rPr>
              <w:t>3</w:t>
            </w:r>
            <w:r>
              <w:rPr>
                <w:rFonts w:ascii="Times New Roman" w:hAnsi="Times New Roman"/>
                <w:bCs/>
                <w:szCs w:val="21"/>
                <w:lang w:val="zh-CN"/>
              </w:rPr>
              <w:t>)</w:t>
            </w:r>
            <w:r>
              <w:rPr>
                <w:rFonts w:ascii="宋体" w:hAnsi="宋体" w:cs="宋体"/>
                <w:color w:val="000000"/>
                <w:sz w:val="22"/>
                <w:lang w:val="zh-TW" w:eastAsia="zh-TW" w:bidi="zh-TW"/>
              </w:rPr>
              <w:t xml:space="preserve"> </w:t>
            </w:r>
            <w:r>
              <w:rPr>
                <w:rFonts w:ascii="Times New Roman" w:hAnsi="Times New Roman"/>
                <w:bCs/>
                <w:szCs w:val="21"/>
                <w:lang w:val="zh-CN"/>
              </w:rPr>
              <w:t>投标文件正、副本份数符合招标文件第二章“投标人须知” 第3.7.4项规定。</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rPr>
                <w:rFonts w:ascii="Times New Roman" w:hAnsi="Times New Roman" w:eastAsia="黑体"/>
                <w:szCs w:val="21"/>
              </w:rPr>
            </w:pPr>
            <w:r>
              <w:rPr>
                <w:rFonts w:ascii="Times New Roman" w:hAnsi="Times New Roman"/>
                <w:bCs/>
                <w:szCs w:val="21"/>
                <w:lang w:val="zh-CN"/>
              </w:rPr>
              <w:t>2.1.3</w:t>
            </w:r>
          </w:p>
        </w:tc>
        <w:tc>
          <w:tcPr>
            <w:tcW w:w="1394"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Times New Roman" w:hAnsi="Times New Roman"/>
                <w:bCs/>
                <w:szCs w:val="21"/>
                <w:lang w:val="zh-CN"/>
              </w:rPr>
            </w:pPr>
            <w:r>
              <w:rPr>
                <w:rFonts w:ascii="Times New Roman" w:hAnsi="Times New Roman" w:eastAsia="黑体"/>
                <w:szCs w:val="21"/>
              </w:rPr>
              <w:t>第二</w:t>
            </w:r>
            <w:r>
              <w:rPr>
                <w:rFonts w:hint="eastAsia" w:ascii="Times New Roman" w:hAnsi="Times New Roman" w:eastAsia="黑体"/>
                <w:szCs w:val="21"/>
              </w:rPr>
              <w:t>个</w:t>
            </w:r>
            <w:r>
              <w:rPr>
                <w:rFonts w:ascii="Times New Roman" w:hAnsi="Times New Roman" w:eastAsia="黑体"/>
                <w:szCs w:val="21"/>
              </w:rPr>
              <w:t>信封</w:t>
            </w:r>
          </w:p>
          <w:p>
            <w:pPr>
              <w:autoSpaceDE w:val="0"/>
              <w:autoSpaceDN w:val="0"/>
              <w:adjustRightInd w:val="0"/>
              <w:jc w:val="center"/>
              <w:rPr>
                <w:rFonts w:ascii="Times New Roman" w:hAnsi="Times New Roman"/>
                <w:bCs/>
                <w:szCs w:val="21"/>
                <w:lang w:val="zh-CN"/>
              </w:rPr>
            </w:pPr>
            <w:r>
              <w:rPr>
                <w:rFonts w:ascii="Times New Roman" w:hAnsi="Times New Roman"/>
                <w:bCs/>
                <w:szCs w:val="21"/>
                <w:lang w:val="zh-CN"/>
              </w:rPr>
              <w:t>形式评审</w:t>
            </w:r>
          </w:p>
          <w:p>
            <w:pPr>
              <w:autoSpaceDE w:val="0"/>
              <w:autoSpaceDN w:val="0"/>
              <w:adjustRightInd w:val="0"/>
              <w:jc w:val="center"/>
              <w:rPr>
                <w:rFonts w:ascii="Times New Roman" w:hAnsi="Times New Roman"/>
                <w:bCs/>
                <w:szCs w:val="21"/>
                <w:lang w:val="zh-CN"/>
              </w:rPr>
            </w:pPr>
            <w:r>
              <w:rPr>
                <w:rFonts w:ascii="Times New Roman" w:hAnsi="Times New Roman"/>
                <w:bCs/>
                <w:szCs w:val="21"/>
                <w:lang w:val="zh-CN"/>
              </w:rPr>
              <w:t>与响应性</w:t>
            </w:r>
          </w:p>
          <w:p>
            <w:pPr>
              <w:autoSpaceDE w:val="0"/>
              <w:autoSpaceDN w:val="0"/>
              <w:adjustRightInd w:val="0"/>
              <w:jc w:val="center"/>
              <w:rPr>
                <w:rFonts w:ascii="Times New Roman" w:hAnsi="Times New Roman"/>
                <w:bCs/>
                <w:szCs w:val="21"/>
                <w:lang w:val="zh-CN"/>
              </w:rPr>
            </w:pPr>
            <w:r>
              <w:rPr>
                <w:rFonts w:ascii="Times New Roman" w:hAnsi="Times New Roman"/>
                <w:bCs/>
                <w:szCs w:val="21"/>
                <w:lang w:val="zh-CN"/>
              </w:rPr>
              <w:t>评审标准</w:t>
            </w:r>
          </w:p>
        </w:tc>
        <w:tc>
          <w:tcPr>
            <w:tcW w:w="7159" w:type="dxa"/>
            <w:noWrap w:val="0"/>
            <w:vAlign w:val="center"/>
          </w:tcPr>
          <w:p>
            <w:pPr>
              <w:adjustRightInd w:val="0"/>
              <w:snapToGrid w:val="0"/>
              <w:spacing w:before="62" w:beforeLines="20" w:after="62" w:afterLines="20"/>
              <w:rPr>
                <w:rFonts w:ascii="Times New Roman" w:hAnsi="Times New Roman" w:eastAsia="黑体"/>
                <w:szCs w:val="21"/>
              </w:rPr>
            </w:pPr>
            <w:r>
              <w:rPr>
                <w:rFonts w:ascii="Times New Roman" w:hAnsi="Times New Roman" w:eastAsia="黑体"/>
                <w:szCs w:val="21"/>
              </w:rPr>
              <w:t>第二</w:t>
            </w:r>
            <w:r>
              <w:rPr>
                <w:rFonts w:hint="eastAsia" w:ascii="Times New Roman" w:hAnsi="Times New Roman" w:eastAsia="黑体"/>
                <w:szCs w:val="21"/>
              </w:rPr>
              <w:t>个</w:t>
            </w:r>
            <w:r>
              <w:rPr>
                <w:rFonts w:ascii="Times New Roman" w:hAnsi="Times New Roman" w:eastAsia="黑体"/>
                <w:szCs w:val="21"/>
              </w:rPr>
              <w:t>信封（</w:t>
            </w:r>
            <w:r>
              <w:rPr>
                <w:rFonts w:hint="eastAsia" w:ascii="Times New Roman" w:hAnsi="Times New Roman" w:eastAsia="黑体"/>
                <w:szCs w:val="21"/>
              </w:rPr>
              <w:t>报价文件</w:t>
            </w:r>
            <w:r>
              <w:rPr>
                <w:rFonts w:ascii="Times New Roman" w:hAnsi="Times New Roman" w:eastAsia="黑体"/>
                <w:szCs w:val="21"/>
              </w:rPr>
              <w:t>）</w:t>
            </w:r>
          </w:p>
          <w:p>
            <w:pPr>
              <w:adjustRightInd w:val="0"/>
              <w:snapToGrid w:val="0"/>
              <w:spacing w:before="62" w:beforeLines="20" w:after="62" w:afterLines="20"/>
              <w:ind w:firstLine="420" w:firstLineChars="200"/>
              <w:rPr>
                <w:rFonts w:hint="eastAsia" w:ascii="Times New Roman" w:hAnsi="Times New Roman"/>
                <w:szCs w:val="21"/>
              </w:rPr>
            </w:pPr>
            <w:r>
              <w:rPr>
                <w:rFonts w:ascii="Times New Roman" w:hAnsi="Times New Roman"/>
                <w:szCs w:val="21"/>
              </w:rPr>
              <w:t>(1)</w:t>
            </w:r>
            <w:r>
              <w:rPr>
                <w:rFonts w:hint="eastAsia" w:ascii="Times New Roman" w:hAnsi="Times New Roman"/>
                <w:szCs w:val="21"/>
              </w:rPr>
              <w:t>投标文件按照招标文件规定的格式、内容填写、字迹清晰可辨：</w:t>
            </w:r>
          </w:p>
          <w:p>
            <w:pPr>
              <w:adjustRightInd w:val="0"/>
              <w:snapToGrid w:val="0"/>
              <w:spacing w:before="62" w:beforeLines="20" w:after="62" w:afterLines="20"/>
              <w:ind w:firstLine="420" w:firstLineChars="200"/>
              <w:rPr>
                <w:rFonts w:ascii="Times New Roman" w:hAnsi="Times New Roman"/>
                <w:szCs w:val="21"/>
              </w:rPr>
            </w:pPr>
            <w:r>
              <w:rPr>
                <w:rFonts w:hint="eastAsia" w:ascii="Times New Roman" w:hAnsi="Times New Roman"/>
                <w:szCs w:val="21"/>
              </w:rPr>
              <w:t>a．</w:t>
            </w:r>
            <w:r>
              <w:rPr>
                <w:rFonts w:ascii="Times New Roman" w:hAnsi="Times New Roman"/>
                <w:szCs w:val="21"/>
              </w:rPr>
              <w:t>投标函按招标文件规定填报了项目名称、标段号、补遗书编号（如有)、投标价（包括大写金额和小写金额)；</w:t>
            </w:r>
          </w:p>
          <w:p>
            <w:pPr>
              <w:adjustRightInd w:val="0"/>
              <w:snapToGrid w:val="0"/>
              <w:spacing w:before="62" w:beforeLines="20" w:after="62" w:afterLines="20"/>
              <w:ind w:firstLine="420" w:firstLineChars="200"/>
              <w:rPr>
                <w:rFonts w:ascii="Times New Roman" w:hAnsi="Times New Roman"/>
                <w:szCs w:val="21"/>
              </w:rPr>
            </w:pPr>
            <w:r>
              <w:rPr>
                <w:rFonts w:hint="eastAsia" w:ascii="Times New Roman" w:hAnsi="Times New Roman"/>
                <w:szCs w:val="21"/>
              </w:rPr>
              <w:t>b．</w:t>
            </w:r>
            <w:r>
              <w:rPr>
                <w:rFonts w:ascii="Times New Roman" w:hAnsi="Times New Roman"/>
                <w:szCs w:val="21"/>
              </w:rPr>
              <w:t>已标价工程量清单说明文字与招标文件规定一致，未进行实质性修改和删减；</w:t>
            </w:r>
          </w:p>
          <w:p>
            <w:pPr>
              <w:adjustRightInd w:val="0"/>
              <w:snapToGrid w:val="0"/>
              <w:spacing w:before="62" w:beforeLines="20" w:after="62" w:afterLines="20"/>
              <w:ind w:firstLine="420" w:firstLineChars="200"/>
              <w:rPr>
                <w:rFonts w:ascii="Times New Roman" w:hAnsi="Times New Roman"/>
                <w:szCs w:val="21"/>
              </w:rPr>
            </w:pPr>
            <w:r>
              <w:rPr>
                <w:rFonts w:hint="eastAsia" w:ascii="Times New Roman" w:hAnsi="Times New Roman"/>
                <w:szCs w:val="21"/>
              </w:rPr>
              <w:t>c．</w:t>
            </w:r>
            <w:r>
              <w:rPr>
                <w:rFonts w:ascii="Times New Roman" w:hAnsi="Times New Roman"/>
                <w:szCs w:val="21"/>
              </w:rPr>
              <w:t>投标文件组成齐全完整，内容均按规定填写。</w:t>
            </w:r>
          </w:p>
          <w:p>
            <w:pPr>
              <w:adjustRightInd w:val="0"/>
              <w:snapToGrid w:val="0"/>
              <w:spacing w:before="62" w:beforeLines="20" w:after="62" w:afterLines="20"/>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2</w:t>
            </w:r>
            <w:r>
              <w:rPr>
                <w:rFonts w:ascii="Times New Roman" w:hAnsi="Times New Roman"/>
                <w:szCs w:val="21"/>
              </w:rPr>
              <w:t>)投标文件上法定代表人或其委托代理人的签字、投标人的单位章盖章齐全，符合招标文件规定。</w:t>
            </w:r>
          </w:p>
          <w:p>
            <w:pPr>
              <w:adjustRightInd w:val="0"/>
              <w:snapToGrid w:val="0"/>
              <w:spacing w:before="62" w:beforeLines="20" w:after="62" w:afterLines="20"/>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3</w:t>
            </w:r>
            <w:r>
              <w:rPr>
                <w:rFonts w:ascii="Times New Roman" w:hAnsi="Times New Roman"/>
                <w:szCs w:val="21"/>
              </w:rPr>
              <w:t>)投标报价中的报价未超过招标文件设定的最高投标限价。</w:t>
            </w:r>
          </w:p>
          <w:p>
            <w:pPr>
              <w:adjustRightInd w:val="0"/>
              <w:snapToGrid w:val="0"/>
              <w:spacing w:before="62" w:beforeLines="20" w:after="62" w:afterLines="20"/>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4</w:t>
            </w:r>
            <w:r>
              <w:rPr>
                <w:rFonts w:ascii="Times New Roman" w:hAnsi="Times New Roman"/>
                <w:szCs w:val="21"/>
              </w:rPr>
              <w:t>)投标报价中报价的大写金额能够确定具体数值。</w:t>
            </w:r>
          </w:p>
          <w:p>
            <w:pPr>
              <w:adjustRightInd w:val="0"/>
              <w:snapToGrid w:val="0"/>
              <w:spacing w:before="62" w:beforeLines="20" w:after="62" w:afterLines="20"/>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5</w:t>
            </w:r>
            <w:r>
              <w:rPr>
                <w:rFonts w:ascii="Times New Roman" w:hAnsi="Times New Roman"/>
                <w:szCs w:val="21"/>
              </w:rPr>
              <w:t>)同一投标人未提交两个以上不同的投标报价，但招标文件要求提交备选投标的除外。</w:t>
            </w:r>
          </w:p>
          <w:p>
            <w:pPr>
              <w:adjustRightInd w:val="0"/>
              <w:snapToGrid w:val="0"/>
              <w:spacing w:before="62" w:beforeLines="20" w:after="62" w:afterLines="20"/>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6</w:t>
            </w:r>
            <w:r>
              <w:rPr>
                <w:rFonts w:ascii="Times New Roman" w:hAnsi="Times New Roman"/>
                <w:szCs w:val="21"/>
              </w:rPr>
              <w:t>)投标人若填写工程量固化清单，填写完毕的工程量固化清单未对工程量固化清单电子文件中的数据、格式和运算定义进行修改；工程量固化清单中的投标报价和投标函大写金额报价一致。</w:t>
            </w:r>
          </w:p>
          <w:p>
            <w:pPr>
              <w:adjustRightInd w:val="0"/>
              <w:snapToGrid w:val="0"/>
              <w:spacing w:before="62" w:beforeLines="20" w:after="62" w:afterLines="20"/>
              <w:ind w:firstLine="420" w:firstLineChars="200"/>
              <w:rPr>
                <w:rFonts w:hint="eastAsia" w:ascii="Times New Roman" w:hAnsi="Times New Roman" w:eastAsia="黑体"/>
                <w:szCs w:val="21"/>
              </w:rPr>
            </w:pPr>
            <w:r>
              <w:rPr>
                <w:rFonts w:ascii="Times New Roman" w:hAnsi="Times New Roman"/>
                <w:szCs w:val="21"/>
              </w:rPr>
              <w:t>(</w:t>
            </w:r>
            <w:r>
              <w:rPr>
                <w:rFonts w:hint="eastAsia" w:ascii="Times New Roman" w:hAnsi="Times New Roman"/>
                <w:szCs w:val="21"/>
              </w:rPr>
              <w:t>7</w:t>
            </w:r>
            <w:r>
              <w:rPr>
                <w:rFonts w:ascii="Times New Roman" w:hAnsi="Times New Roman"/>
                <w:szCs w:val="21"/>
              </w:rPr>
              <w:t>)投标文件正、副本份数符合招标文件第二章“投标人须知”第 3.7.4项规定。</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rPr>
                <w:rFonts w:ascii="Times New Roman" w:hAnsi="Times New Roman"/>
                <w:bCs/>
                <w:szCs w:val="21"/>
                <w:lang w:val="zh-CN"/>
              </w:rPr>
            </w:pPr>
            <w:r>
              <w:rPr>
                <w:rFonts w:ascii="Times New Roman" w:hAnsi="Times New Roman"/>
                <w:bCs/>
                <w:szCs w:val="21"/>
                <w:lang w:val="zh-CN"/>
              </w:rPr>
              <w:t>2.1.2</w:t>
            </w:r>
          </w:p>
        </w:tc>
        <w:tc>
          <w:tcPr>
            <w:tcW w:w="1394" w:type="dxa"/>
            <w:tcBorders>
              <w:top w:val="single" w:color="auto" w:sz="4" w:space="0"/>
              <w:left w:val="single" w:color="auto" w:sz="4" w:space="0"/>
              <w:bottom w:val="single" w:color="auto" w:sz="4" w:space="0"/>
            </w:tcBorders>
            <w:noWrap w:val="0"/>
            <w:vAlign w:val="center"/>
          </w:tcPr>
          <w:p>
            <w:pPr>
              <w:autoSpaceDE w:val="0"/>
              <w:autoSpaceDN w:val="0"/>
              <w:adjustRightInd w:val="0"/>
              <w:spacing w:line="400" w:lineRule="exact"/>
              <w:jc w:val="center"/>
              <w:rPr>
                <w:rFonts w:ascii="Times New Roman" w:hAnsi="Times New Roman"/>
                <w:bCs/>
                <w:szCs w:val="21"/>
                <w:lang w:val="zh-CN"/>
              </w:rPr>
            </w:pPr>
            <w:r>
              <w:rPr>
                <w:rFonts w:ascii="Times New Roman" w:hAnsi="Times New Roman" w:eastAsia="黑体"/>
                <w:szCs w:val="21"/>
              </w:rPr>
              <w:t>第一</w:t>
            </w:r>
            <w:r>
              <w:rPr>
                <w:rFonts w:hint="eastAsia" w:ascii="Times New Roman" w:hAnsi="Times New Roman" w:eastAsia="黑体"/>
                <w:szCs w:val="21"/>
              </w:rPr>
              <w:t>个</w:t>
            </w:r>
            <w:r>
              <w:rPr>
                <w:rFonts w:ascii="Times New Roman" w:hAnsi="Times New Roman" w:eastAsia="黑体"/>
                <w:szCs w:val="21"/>
              </w:rPr>
              <w:t>信封</w:t>
            </w:r>
          </w:p>
          <w:p>
            <w:pPr>
              <w:autoSpaceDE w:val="0"/>
              <w:autoSpaceDN w:val="0"/>
              <w:adjustRightInd w:val="0"/>
              <w:spacing w:line="400" w:lineRule="exact"/>
              <w:jc w:val="center"/>
              <w:rPr>
                <w:rFonts w:ascii="Times New Roman" w:hAnsi="Times New Roman"/>
                <w:bCs/>
                <w:szCs w:val="21"/>
                <w:lang w:val="zh-CN"/>
              </w:rPr>
            </w:pPr>
            <w:r>
              <w:rPr>
                <w:rFonts w:ascii="Times New Roman" w:hAnsi="Times New Roman"/>
                <w:bCs/>
                <w:szCs w:val="21"/>
                <w:lang w:val="zh-CN"/>
              </w:rPr>
              <w:t>资格</w:t>
            </w:r>
          </w:p>
          <w:p>
            <w:pPr>
              <w:autoSpaceDE w:val="0"/>
              <w:autoSpaceDN w:val="0"/>
              <w:adjustRightInd w:val="0"/>
              <w:spacing w:line="400" w:lineRule="exact"/>
              <w:jc w:val="center"/>
              <w:rPr>
                <w:rFonts w:ascii="Times New Roman" w:hAnsi="Times New Roman" w:eastAsia="黑体"/>
                <w:szCs w:val="21"/>
              </w:rPr>
            </w:pPr>
            <w:r>
              <w:rPr>
                <w:rFonts w:ascii="Times New Roman" w:hAnsi="Times New Roman"/>
                <w:bCs/>
                <w:szCs w:val="21"/>
                <w:lang w:val="zh-CN"/>
              </w:rPr>
              <w:t>评审标准</w:t>
            </w:r>
          </w:p>
        </w:tc>
        <w:tc>
          <w:tcPr>
            <w:tcW w:w="7159" w:type="dxa"/>
            <w:tcBorders>
              <w:bottom w:val="single" w:color="auto" w:sz="4" w:space="0"/>
            </w:tcBorders>
            <w:noWrap w:val="0"/>
            <w:vAlign w:val="center"/>
          </w:tcPr>
          <w:p>
            <w:pPr>
              <w:adjustRightInd w:val="0"/>
              <w:snapToGrid w:val="0"/>
              <w:spacing w:before="62" w:beforeLines="20" w:after="62" w:afterLines="20"/>
              <w:ind w:firstLine="420" w:firstLineChars="200"/>
              <w:rPr>
                <w:rFonts w:hint="eastAsia" w:ascii="Times New Roman" w:hAnsi="Times New Roman"/>
                <w:szCs w:val="21"/>
              </w:rPr>
            </w:pPr>
            <w:r>
              <w:rPr>
                <w:rFonts w:ascii="Times New Roman" w:hAnsi="Times New Roman"/>
                <w:szCs w:val="21"/>
              </w:rPr>
              <w:t>(1)投标人具备有效的营业执照、</w:t>
            </w:r>
            <w:r>
              <w:rPr>
                <w:rFonts w:hint="eastAsia" w:ascii="Times New Roman" w:hAnsi="Times New Roman"/>
                <w:szCs w:val="21"/>
              </w:rPr>
              <w:t>资质证书、企业安全生产许可证、</w:t>
            </w:r>
            <w:r>
              <w:rPr>
                <w:rFonts w:ascii="Times New Roman" w:hAnsi="Times New Roman"/>
                <w:szCs w:val="21"/>
              </w:rPr>
              <w:t>基本账户开户许可证和在全国企业信用信息公示系统中基础信息（体现股东及出资详细信息）的网页截图或由法定的社会验资机构出具的验资报告或注册地工商部门出具的股东出资情况证明复印件。</w:t>
            </w:r>
          </w:p>
          <w:p>
            <w:pPr>
              <w:adjustRightInd w:val="0"/>
              <w:snapToGrid w:val="0"/>
              <w:spacing w:before="62" w:beforeLines="20" w:after="62" w:afterLines="20"/>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2</w:t>
            </w:r>
            <w:r>
              <w:rPr>
                <w:rFonts w:ascii="Times New Roman" w:hAnsi="Times New Roman"/>
                <w:szCs w:val="21"/>
              </w:rPr>
              <w:t>)投标人的</w:t>
            </w:r>
            <w:r>
              <w:rPr>
                <w:rFonts w:hint="eastAsia" w:ascii="Times New Roman" w:hAnsi="Times New Roman"/>
                <w:szCs w:val="21"/>
              </w:rPr>
              <w:t>资质等级</w:t>
            </w:r>
            <w:r>
              <w:rPr>
                <w:rFonts w:ascii="Times New Roman" w:hAnsi="Times New Roman"/>
                <w:szCs w:val="21"/>
              </w:rPr>
              <w:t>符合招标文件规定。</w:t>
            </w:r>
          </w:p>
          <w:p>
            <w:pPr>
              <w:adjustRightInd w:val="0"/>
              <w:snapToGrid w:val="0"/>
              <w:spacing w:before="62" w:beforeLines="20" w:after="62" w:afterLines="20"/>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3</w:t>
            </w:r>
            <w:r>
              <w:rPr>
                <w:rFonts w:ascii="Times New Roman" w:hAnsi="Times New Roman"/>
                <w:szCs w:val="21"/>
              </w:rPr>
              <w:t>)投标人的财务状况符合招标文件规定。</w:t>
            </w:r>
          </w:p>
          <w:p>
            <w:pPr>
              <w:adjustRightInd w:val="0"/>
              <w:snapToGrid w:val="0"/>
              <w:spacing w:before="62" w:beforeLines="20" w:after="62" w:afterLines="20"/>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4</w:t>
            </w:r>
            <w:r>
              <w:rPr>
                <w:rFonts w:ascii="Times New Roman" w:hAnsi="Times New Roman"/>
                <w:szCs w:val="21"/>
              </w:rPr>
              <w:t>)投标人的类似项目业绩符合招标文件规定，且提供了满足招标文件要求的证明材料</w:t>
            </w:r>
            <w:r>
              <w:rPr>
                <w:rFonts w:hint="eastAsia" w:ascii="Times New Roman" w:hAnsi="Times New Roman"/>
                <w:szCs w:val="21"/>
              </w:rPr>
              <w:t>【投标人（含联合体各成员）业绩进行网上核查，核查结果相符】</w:t>
            </w:r>
            <w:r>
              <w:rPr>
                <w:rFonts w:ascii="Times New Roman" w:hAnsi="Times New Roman"/>
                <w:szCs w:val="21"/>
              </w:rPr>
              <w:t>。</w:t>
            </w:r>
          </w:p>
          <w:p>
            <w:pPr>
              <w:adjustRightInd w:val="0"/>
              <w:snapToGrid w:val="0"/>
              <w:spacing w:before="62" w:beforeLines="20" w:after="62" w:afterLines="20"/>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5</w:t>
            </w:r>
            <w:r>
              <w:rPr>
                <w:rFonts w:ascii="Times New Roman" w:hAnsi="Times New Roman"/>
                <w:szCs w:val="21"/>
              </w:rPr>
              <w:t>)投标人的信誉符合招标文件规定。</w:t>
            </w:r>
          </w:p>
          <w:p>
            <w:pPr>
              <w:adjustRightInd w:val="0"/>
              <w:snapToGrid w:val="0"/>
              <w:spacing w:before="62" w:beforeLines="20" w:after="62" w:afterLines="20"/>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6</w:t>
            </w:r>
            <w:r>
              <w:rPr>
                <w:rFonts w:ascii="Times New Roman" w:hAnsi="Times New Roman"/>
                <w:szCs w:val="21"/>
              </w:rPr>
              <w:t>)投标人的项目经理和项目总工资格</w:t>
            </w:r>
            <w:r>
              <w:rPr>
                <w:rFonts w:hint="eastAsia" w:ascii="Times New Roman" w:hAnsi="Times New Roman"/>
                <w:szCs w:val="21"/>
              </w:rPr>
              <w:t>在岗情况</w:t>
            </w:r>
            <w:r>
              <w:rPr>
                <w:rFonts w:ascii="Times New Roman" w:hAnsi="Times New Roman"/>
                <w:szCs w:val="21"/>
              </w:rPr>
              <w:t>符合招标文件规定，且提供了满足招标文件要求的证明材料（相关人员的建造师注册证书、建造师临时执业证书</w:t>
            </w:r>
            <w:r>
              <w:rPr>
                <w:rFonts w:hint="eastAsia" w:ascii="Times New Roman" w:hAnsi="Times New Roman"/>
                <w:szCs w:val="21"/>
              </w:rPr>
              <w:t>、</w:t>
            </w:r>
            <w:r>
              <w:rPr>
                <w:rFonts w:ascii="Times New Roman" w:hAnsi="Times New Roman"/>
                <w:szCs w:val="21"/>
              </w:rPr>
              <w:t>安全生产考核合格证书等在评审时进行网上核查，核查结果</w:t>
            </w:r>
            <w:r>
              <w:rPr>
                <w:rFonts w:hint="eastAsia" w:ascii="Times New Roman" w:hAnsi="Times New Roman"/>
                <w:szCs w:val="21"/>
              </w:rPr>
              <w:t>相符</w:t>
            </w:r>
            <w:r>
              <w:rPr>
                <w:rFonts w:ascii="Times New Roman" w:hAnsi="Times New Roman"/>
                <w:szCs w:val="21"/>
              </w:rPr>
              <w:t>）。</w:t>
            </w:r>
          </w:p>
          <w:p>
            <w:pPr>
              <w:adjustRightInd w:val="0"/>
              <w:snapToGrid w:val="0"/>
              <w:spacing w:before="62" w:beforeLines="20" w:after="62" w:afterLines="20"/>
              <w:ind w:firstLine="420" w:firstLineChars="200"/>
              <w:rPr>
                <w:rFonts w:hint="eastAsia" w:ascii="Times New Roman" w:hAnsi="Times New Roman"/>
                <w:szCs w:val="21"/>
              </w:rPr>
            </w:pPr>
            <w:r>
              <w:rPr>
                <w:rFonts w:ascii="Times New Roman" w:hAnsi="Times New Roman"/>
                <w:szCs w:val="21"/>
              </w:rPr>
              <w:t>(</w:t>
            </w:r>
            <w:r>
              <w:rPr>
                <w:rFonts w:hint="eastAsia" w:ascii="Times New Roman" w:hAnsi="Times New Roman"/>
                <w:szCs w:val="21"/>
              </w:rPr>
              <w:t>7</w:t>
            </w:r>
            <w:r>
              <w:rPr>
                <w:rFonts w:ascii="Times New Roman" w:hAnsi="Times New Roman"/>
                <w:szCs w:val="21"/>
              </w:rPr>
              <w:t>)投标人不存在第二章“投标人须知”第1.4.3项</w:t>
            </w:r>
            <w:r>
              <w:rPr>
                <w:rFonts w:hint="eastAsia" w:ascii="Times New Roman" w:hAnsi="Times New Roman"/>
                <w:szCs w:val="21"/>
              </w:rPr>
              <w:t>或1.4.4项</w:t>
            </w:r>
            <w:r>
              <w:rPr>
                <w:rFonts w:ascii="Times New Roman" w:hAnsi="Times New Roman"/>
                <w:szCs w:val="21"/>
              </w:rPr>
              <w:t>规定的任何一种情形。</w:t>
            </w:r>
          </w:p>
          <w:p>
            <w:pPr>
              <w:adjustRightInd w:val="0"/>
              <w:snapToGrid w:val="0"/>
              <w:spacing w:before="62" w:beforeLines="20" w:after="62" w:afterLines="20"/>
              <w:ind w:firstLine="420" w:firstLineChars="200"/>
              <w:rPr>
                <w:rFonts w:hint="eastAsia" w:ascii="Times New Roman" w:hAnsi="Times New Roman"/>
                <w:szCs w:val="21"/>
              </w:rPr>
            </w:pPr>
            <w:r>
              <w:rPr>
                <w:rFonts w:ascii="Times New Roman" w:hAnsi="Times New Roman"/>
                <w:szCs w:val="21"/>
              </w:rPr>
              <w:t>(</w:t>
            </w:r>
            <w:r>
              <w:rPr>
                <w:rFonts w:hint="eastAsia" w:ascii="Times New Roman" w:hAnsi="Times New Roman"/>
                <w:szCs w:val="21"/>
              </w:rPr>
              <w:t>8</w:t>
            </w:r>
            <w:r>
              <w:rPr>
                <w:rFonts w:ascii="Times New Roman" w:hAnsi="Times New Roman"/>
                <w:szCs w:val="21"/>
              </w:rPr>
              <w:t>)</w:t>
            </w:r>
            <w:r>
              <w:rPr>
                <w:rFonts w:hint="eastAsia" w:ascii="宋体" w:hAnsi="宋体"/>
                <w:b/>
                <w:bCs/>
                <w:szCs w:val="21"/>
              </w:rPr>
              <w:t xml:space="preserve"> 具备建设行政主管部门颁发的公路工程施工总承包特级、一级资质和公路交通工程专业承包公路安全设施分项资质的</w:t>
            </w:r>
            <w:r>
              <w:rPr>
                <w:rFonts w:ascii="宋体" w:hAnsi="宋体"/>
                <w:b/>
                <w:bCs/>
                <w:szCs w:val="21"/>
              </w:rPr>
              <w:t>投标人应进入交通运输部 “ 全国公路建设市场信用信息管理系统 （ ht</w:t>
            </w:r>
            <w:r>
              <w:rPr>
                <w:rFonts w:hint="eastAsia" w:ascii="宋体" w:hAnsi="宋体"/>
                <w:b/>
                <w:bCs/>
                <w:szCs w:val="21"/>
              </w:rPr>
              <w:t>tp:</w:t>
            </w:r>
            <w:r>
              <w:rPr>
                <w:rFonts w:ascii="宋体" w:hAnsi="宋体"/>
                <w:b/>
                <w:bCs/>
                <w:szCs w:val="21"/>
              </w:rPr>
              <w:t xml:space="preserve"> IIglxy.mot.gov.</w:t>
            </w:r>
            <w:r>
              <w:rPr>
                <w:rFonts w:hint="eastAsia" w:ascii="宋体" w:hAnsi="宋体"/>
                <w:b/>
                <w:bCs/>
                <w:szCs w:val="21"/>
              </w:rPr>
              <w:t>c</w:t>
            </w:r>
            <w:r>
              <w:rPr>
                <w:rFonts w:ascii="宋体" w:hAnsi="宋体"/>
                <w:b/>
                <w:bCs/>
                <w:szCs w:val="21"/>
              </w:rPr>
              <w:t>n ）” 中的公路工程施工资质企业名录，且投标人名称和资质与该名录中的相应企业名称和资质完全一致</w:t>
            </w:r>
            <w:r>
              <w:rPr>
                <w:rFonts w:ascii="Times New Roman" w:hAnsi="Times New Roman"/>
                <w:szCs w:val="21"/>
              </w:rPr>
              <w:t>；</w:t>
            </w:r>
          </w:p>
          <w:p>
            <w:pPr>
              <w:adjustRightInd w:val="0"/>
              <w:snapToGrid w:val="0"/>
              <w:spacing w:before="62" w:beforeLines="20" w:after="62" w:afterLines="20"/>
              <w:ind w:firstLine="420" w:firstLineChars="200"/>
              <w:rPr>
                <w:rFonts w:hint="eastAsia" w:ascii="Times New Roman" w:hAnsi="Times New Roman"/>
                <w:szCs w:val="21"/>
              </w:rPr>
            </w:pPr>
            <w:r>
              <w:rPr>
                <w:rFonts w:ascii="Times New Roman" w:hAnsi="Times New Roman"/>
                <w:szCs w:val="21"/>
              </w:rPr>
              <w:t>(</w:t>
            </w:r>
            <w:r>
              <w:rPr>
                <w:rFonts w:hint="eastAsia" w:ascii="Times New Roman" w:hAnsi="Times New Roman"/>
                <w:szCs w:val="21"/>
              </w:rPr>
              <w:t>9</w:t>
            </w:r>
            <w:r>
              <w:rPr>
                <w:rFonts w:ascii="Times New Roman" w:hAnsi="Times New Roman"/>
                <w:szCs w:val="21"/>
              </w:rPr>
              <w:t>)以联合体形式参与投标的</w:t>
            </w:r>
            <w:r>
              <w:rPr>
                <w:rFonts w:hint="eastAsia" w:ascii="Times New Roman" w:hAnsi="Times New Roman"/>
                <w:szCs w:val="21"/>
              </w:rPr>
              <w:t>，</w:t>
            </w:r>
            <w:r>
              <w:rPr>
                <w:rFonts w:ascii="Times New Roman" w:hAnsi="Times New Roman"/>
                <w:szCs w:val="21"/>
              </w:rPr>
              <w:t>联合体各方均未再以自己名义单独或参加其他联合体在同一标段中投标</w:t>
            </w:r>
            <w:r>
              <w:rPr>
                <w:rFonts w:hint="eastAsia" w:ascii="Times New Roman" w:hAnsi="Times New Roman"/>
                <w:szCs w:val="21"/>
              </w:rPr>
              <w:t>；</w:t>
            </w:r>
            <w:r>
              <w:rPr>
                <w:rFonts w:ascii="Times New Roman" w:hAnsi="Times New Roman"/>
                <w:szCs w:val="21"/>
              </w:rPr>
              <w:t>独立参与投标的</w:t>
            </w:r>
            <w:r>
              <w:rPr>
                <w:rFonts w:hint="eastAsia" w:ascii="Times New Roman" w:hAnsi="Times New Roman"/>
                <w:szCs w:val="21"/>
              </w:rPr>
              <w:t>，</w:t>
            </w:r>
            <w:r>
              <w:rPr>
                <w:rFonts w:ascii="Times New Roman" w:hAnsi="Times New Roman"/>
                <w:szCs w:val="21"/>
              </w:rPr>
              <w:t>投标人未同时参加联合体在同一标段中投标</w:t>
            </w:r>
            <w:r>
              <w:rPr>
                <w:rFonts w:hint="eastAsia" w:ascii="Times New Roman" w:hAnsi="Times New Roman"/>
                <w:szCs w:val="21"/>
              </w:rPr>
              <w:t>。</w:t>
            </w:r>
          </w:p>
          <w:p>
            <w:pPr>
              <w:adjustRightInd w:val="0"/>
              <w:snapToGrid w:val="0"/>
              <w:spacing w:before="62" w:beforeLines="20" w:after="62" w:afterLines="20"/>
              <w:ind w:firstLine="420" w:firstLineChars="200"/>
              <w:rPr>
                <w:rFonts w:hint="eastAsia" w:ascii="Times New Roman" w:hAnsi="Times New Roman"/>
                <w:szCs w:val="21"/>
              </w:rPr>
            </w:pPr>
            <w:r>
              <w:rPr>
                <w:rFonts w:ascii="Times New Roman" w:hAnsi="Times New Roman"/>
                <w:szCs w:val="21"/>
              </w:rPr>
              <w:t>(</w:t>
            </w:r>
            <w:r>
              <w:rPr>
                <w:rFonts w:hint="eastAsia" w:ascii="Times New Roman" w:hAnsi="Times New Roman"/>
                <w:szCs w:val="21"/>
              </w:rPr>
              <w:t>10</w:t>
            </w:r>
            <w:r>
              <w:rPr>
                <w:rFonts w:ascii="Times New Roman" w:hAnsi="Times New Roman"/>
                <w:szCs w:val="21"/>
              </w:rPr>
              <w:t>)</w:t>
            </w:r>
            <w:r>
              <w:rPr>
                <w:rFonts w:hint="eastAsia" w:ascii="宋体" w:hAnsi="宋体"/>
                <w:szCs w:val="21"/>
              </w:rPr>
              <w:t>与招标人存在利害关系可能影响招标公正性的单位，不得参加投标。单位负责人为同一人或存在控股、管理关系的不同单位，不得参加同一标段投标，否则，相关投标均无效。</w:t>
            </w:r>
          </w:p>
        </w:tc>
      </w:tr>
    </w:tbl>
    <w:p>
      <w:r>
        <w:br w:type="page"/>
      </w:r>
    </w:p>
    <w:tbl>
      <w:tblPr>
        <w:tblStyle w:val="7"/>
        <w:tblW w:w="9487" w:type="dxa"/>
        <w:tblInd w:w="0" w:type="dxa"/>
        <w:tblLayout w:type="fixed"/>
        <w:tblCellMar>
          <w:top w:w="0" w:type="dxa"/>
          <w:left w:w="108" w:type="dxa"/>
          <w:bottom w:w="0" w:type="dxa"/>
          <w:right w:w="108" w:type="dxa"/>
        </w:tblCellMar>
      </w:tblPr>
      <w:tblGrid>
        <w:gridCol w:w="2093"/>
        <w:gridCol w:w="1902"/>
        <w:gridCol w:w="5492"/>
      </w:tblGrid>
      <w:tr>
        <w:tblPrEx>
          <w:tblLayout w:type="fixed"/>
          <w:tblCellMar>
            <w:top w:w="0" w:type="dxa"/>
            <w:left w:w="108" w:type="dxa"/>
            <w:bottom w:w="0" w:type="dxa"/>
            <w:right w:w="108" w:type="dxa"/>
          </w:tblCellMar>
        </w:tblPrEx>
        <w:trPr>
          <w:tblHeader/>
        </w:trPr>
        <w:tc>
          <w:tcPr>
            <w:tcW w:w="20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bCs/>
                <w:szCs w:val="21"/>
                <w:lang w:val="zh-CN"/>
              </w:rPr>
            </w:pPr>
            <w:r>
              <w:rPr>
                <w:bCs/>
                <w:szCs w:val="21"/>
                <w:lang w:val="zh-CN"/>
              </w:rPr>
              <w:t>条款号</w:t>
            </w:r>
          </w:p>
        </w:tc>
        <w:tc>
          <w:tcPr>
            <w:tcW w:w="19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bCs/>
                <w:szCs w:val="21"/>
                <w:lang w:val="zh-CN"/>
              </w:rPr>
            </w:pPr>
            <w:r>
              <w:rPr>
                <w:bCs/>
                <w:szCs w:val="21"/>
                <w:lang w:val="zh-CN"/>
              </w:rPr>
              <w:t>条款内容</w:t>
            </w:r>
          </w:p>
        </w:tc>
        <w:tc>
          <w:tcPr>
            <w:tcW w:w="54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bCs/>
                <w:szCs w:val="21"/>
                <w:lang w:val="zh-CN"/>
              </w:rPr>
            </w:pPr>
            <w:r>
              <w:rPr>
                <w:bCs/>
                <w:szCs w:val="21"/>
                <w:lang w:val="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firstLine="480"/>
              <w:jc w:val="center"/>
              <w:rPr>
                <w:bCs/>
                <w:szCs w:val="21"/>
                <w:lang w:val="zh-CN"/>
              </w:rPr>
            </w:pPr>
            <w:r>
              <w:rPr>
                <w:bCs/>
                <w:szCs w:val="21"/>
                <w:lang w:val="zh-CN"/>
              </w:rPr>
              <w:t>2.2.1</w:t>
            </w:r>
          </w:p>
        </w:tc>
        <w:tc>
          <w:tcPr>
            <w:tcW w:w="1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46" w:beforeLines="15" w:after="46" w:afterLines="15" w:line="360" w:lineRule="exact"/>
              <w:jc w:val="center"/>
              <w:rPr>
                <w:szCs w:val="21"/>
              </w:rPr>
            </w:pPr>
            <w:r>
              <w:rPr>
                <w:szCs w:val="21"/>
              </w:rPr>
              <w:t>分值构成</w:t>
            </w:r>
          </w:p>
          <w:p>
            <w:pPr>
              <w:adjustRightInd w:val="0"/>
              <w:snapToGrid w:val="0"/>
              <w:spacing w:before="46" w:beforeLines="15" w:after="46" w:afterLines="15" w:line="360" w:lineRule="exact"/>
              <w:jc w:val="center"/>
              <w:rPr>
                <w:szCs w:val="21"/>
              </w:rPr>
            </w:pPr>
            <w:r>
              <w:rPr>
                <w:szCs w:val="21"/>
              </w:rPr>
              <w:t>（总分100分）</w:t>
            </w:r>
          </w:p>
        </w:tc>
        <w:tc>
          <w:tcPr>
            <w:tcW w:w="54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after="62" w:afterLines="20" w:line="360" w:lineRule="exact"/>
              <w:ind w:left="420" w:leftChars="200"/>
              <w:rPr>
                <w:szCs w:val="21"/>
              </w:rPr>
            </w:pPr>
            <w:r>
              <w:rPr>
                <w:szCs w:val="21"/>
              </w:rPr>
              <w:t>施工组织设计：</w:t>
            </w:r>
            <w:r>
              <w:rPr>
                <w:rFonts w:hint="eastAsia"/>
                <w:szCs w:val="21"/>
              </w:rPr>
              <w:t>40</w:t>
            </w:r>
            <w:r>
              <w:rPr>
                <w:szCs w:val="21"/>
              </w:rPr>
              <w:t>分</w:t>
            </w:r>
          </w:p>
          <w:p>
            <w:pPr>
              <w:adjustRightInd w:val="0"/>
              <w:snapToGrid w:val="0"/>
              <w:spacing w:before="62" w:beforeLines="20" w:after="62" w:afterLines="20" w:line="360" w:lineRule="exact"/>
              <w:ind w:left="420" w:leftChars="200"/>
              <w:rPr>
                <w:szCs w:val="21"/>
              </w:rPr>
            </w:pPr>
            <w:r>
              <w:rPr>
                <w:rFonts w:hint="eastAsia"/>
                <w:szCs w:val="21"/>
              </w:rPr>
              <w:t>主要人员</w:t>
            </w:r>
            <w:r>
              <w:rPr>
                <w:szCs w:val="21"/>
              </w:rPr>
              <w:t>：</w:t>
            </w:r>
            <w:r>
              <w:rPr>
                <w:rFonts w:hint="eastAsia"/>
                <w:szCs w:val="21"/>
              </w:rPr>
              <w:t>30</w:t>
            </w:r>
            <w:r>
              <w:rPr>
                <w:szCs w:val="21"/>
              </w:rPr>
              <w:t>分</w:t>
            </w:r>
          </w:p>
          <w:p>
            <w:pPr>
              <w:adjustRightInd w:val="0"/>
              <w:snapToGrid w:val="0"/>
              <w:spacing w:before="62" w:beforeLines="20" w:after="62" w:afterLines="20" w:line="360" w:lineRule="exact"/>
              <w:ind w:left="420" w:leftChars="200"/>
              <w:rPr>
                <w:rFonts w:hint="eastAsia"/>
                <w:szCs w:val="21"/>
              </w:rPr>
            </w:pPr>
            <w:r>
              <w:rPr>
                <w:rFonts w:hint="eastAsia"/>
                <w:szCs w:val="21"/>
              </w:rPr>
              <w:t>技术能力：15分</w:t>
            </w:r>
          </w:p>
          <w:p>
            <w:pPr>
              <w:adjustRightInd w:val="0"/>
              <w:snapToGrid w:val="0"/>
              <w:spacing w:before="62" w:beforeLines="20" w:after="62" w:afterLines="20" w:line="360" w:lineRule="exact"/>
              <w:ind w:left="420" w:leftChars="200"/>
              <w:rPr>
                <w:rFonts w:hint="eastAsia"/>
                <w:szCs w:val="21"/>
              </w:rPr>
            </w:pPr>
            <w:r>
              <w:rPr>
                <w:rFonts w:hint="eastAsia"/>
                <w:szCs w:val="21"/>
              </w:rPr>
              <w:t>履约信誉：15分</w:t>
            </w:r>
          </w:p>
          <w:p>
            <w:pPr>
              <w:adjustRightInd w:val="0"/>
              <w:snapToGrid w:val="0"/>
              <w:spacing w:before="62" w:beforeLines="20" w:after="62" w:afterLines="20" w:line="360" w:lineRule="exact"/>
              <w:ind w:left="420" w:leftChars="200"/>
              <w:rPr>
                <w:szCs w:val="21"/>
              </w:rPr>
            </w:pPr>
            <w:r>
              <w:rPr>
                <w:szCs w:val="21"/>
              </w:rPr>
              <w:t>评标价：</w:t>
            </w:r>
            <w:r>
              <w:rPr>
                <w:rFonts w:hint="eastAsia"/>
                <w:szCs w:val="21"/>
              </w:rPr>
              <w:t>0</w:t>
            </w:r>
            <w:r>
              <w:rPr>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firstLine="480"/>
              <w:jc w:val="center"/>
              <w:rPr>
                <w:bCs/>
                <w:szCs w:val="21"/>
                <w:lang w:val="zh-CN"/>
              </w:rPr>
            </w:pPr>
            <w:r>
              <w:rPr>
                <w:bCs/>
                <w:szCs w:val="21"/>
                <w:lang w:val="zh-CN"/>
              </w:rPr>
              <w:t>2.2.3</w:t>
            </w:r>
          </w:p>
        </w:tc>
        <w:tc>
          <w:tcPr>
            <w:tcW w:w="19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firstLine="105" w:firstLineChars="50"/>
              <w:jc w:val="center"/>
              <w:rPr>
                <w:bCs/>
                <w:szCs w:val="21"/>
                <w:lang w:val="zh-CN"/>
              </w:rPr>
            </w:pPr>
            <w:r>
              <w:rPr>
                <w:rFonts w:hint="eastAsia"/>
                <w:bCs/>
                <w:szCs w:val="21"/>
                <w:lang w:val="zh-CN"/>
              </w:rPr>
              <w:t>第二个信封详细评审标准</w:t>
            </w:r>
          </w:p>
        </w:tc>
        <w:tc>
          <w:tcPr>
            <w:tcW w:w="54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rPr>
                <w:bCs/>
                <w:szCs w:val="21"/>
                <w:lang w:val="zh-CN"/>
              </w:rPr>
            </w:pPr>
            <w:r>
              <w:rPr>
                <w:rFonts w:hint="eastAsia"/>
                <w:b/>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firstLine="480"/>
              <w:jc w:val="center"/>
              <w:rPr>
                <w:bCs/>
                <w:szCs w:val="21"/>
                <w:lang w:val="zh-CN"/>
              </w:rPr>
            </w:pPr>
            <w:r>
              <w:rPr>
                <w:rFonts w:hint="eastAsia"/>
                <w:bCs/>
                <w:szCs w:val="21"/>
                <w:lang w:val="zh-CN"/>
              </w:rPr>
              <w:t>3.2.4</w:t>
            </w:r>
          </w:p>
        </w:tc>
        <w:tc>
          <w:tcPr>
            <w:tcW w:w="19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bCs/>
                <w:szCs w:val="21"/>
                <w:lang w:val="zh-CN"/>
              </w:rPr>
            </w:pPr>
            <w:r>
              <w:rPr>
                <w:rFonts w:hint="eastAsia"/>
                <w:bCs/>
                <w:szCs w:val="21"/>
                <w:lang w:val="zh-CN"/>
              </w:rPr>
              <w:t>通过第一个信封</w:t>
            </w:r>
          </w:p>
          <w:p>
            <w:pPr>
              <w:autoSpaceDE w:val="0"/>
              <w:autoSpaceDN w:val="0"/>
              <w:adjustRightInd w:val="0"/>
              <w:spacing w:line="360" w:lineRule="exact"/>
              <w:jc w:val="center"/>
              <w:rPr>
                <w:bCs/>
                <w:szCs w:val="21"/>
                <w:lang w:val="zh-CN"/>
              </w:rPr>
            </w:pPr>
            <w:r>
              <w:rPr>
                <w:rFonts w:hint="eastAsia"/>
                <w:bCs/>
                <w:szCs w:val="21"/>
                <w:lang w:val="zh-CN"/>
              </w:rPr>
              <w:t>详细评审的投标人数量</w:t>
            </w:r>
          </w:p>
        </w:tc>
        <w:tc>
          <w:tcPr>
            <w:tcW w:w="54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rPr>
                <w:szCs w:val="21"/>
              </w:rPr>
            </w:pPr>
            <w:r>
              <w:rPr>
                <w:rFonts w:hint="eastAsia"/>
                <w:szCs w:val="21"/>
              </w:rPr>
              <w:t>按照投标人的商务和技术得分由高到低排序，选择前</w:t>
            </w:r>
            <w:r>
              <w:rPr>
                <w:rFonts w:hint="eastAsia" w:ascii="黑体" w:hAnsi="黑体" w:eastAsia="黑体"/>
                <w:b/>
                <w:szCs w:val="21"/>
                <w:u w:val="single"/>
              </w:rPr>
              <w:t>3</w:t>
            </w:r>
            <w:r>
              <w:rPr>
                <w:rFonts w:hint="eastAsia"/>
                <w:szCs w:val="21"/>
              </w:rPr>
              <w:t>名通过详细评审。</w:t>
            </w:r>
          </w:p>
        </w:tc>
      </w:tr>
    </w:tbl>
    <w:p>
      <w:pPr>
        <w:pStyle w:val="2"/>
        <w:keepNext w:val="0"/>
        <w:keepLines w:val="0"/>
      </w:pPr>
    </w:p>
    <w:p>
      <w:r>
        <w:br w:type="page"/>
      </w:r>
    </w:p>
    <w:tbl>
      <w:tblPr>
        <w:tblStyle w:val="7"/>
        <w:tblW w:w="94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11"/>
        <w:gridCol w:w="979"/>
        <w:gridCol w:w="19"/>
        <w:gridCol w:w="963"/>
        <w:gridCol w:w="1889"/>
        <w:gridCol w:w="565"/>
        <w:gridCol w:w="1035"/>
        <w:gridCol w:w="3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6461" w:type="dxa"/>
            <w:gridSpan w:val="7"/>
            <w:noWrap w:val="0"/>
            <w:vAlign w:val="center"/>
          </w:tcPr>
          <w:p>
            <w:pPr>
              <w:adjustRightInd w:val="0"/>
              <w:snapToGrid w:val="0"/>
              <w:jc w:val="center"/>
              <w:rPr>
                <w:szCs w:val="21"/>
              </w:rPr>
            </w:pPr>
            <w:r>
              <w:rPr>
                <w:szCs w:val="21"/>
              </w:rPr>
              <w:t>评分因素与权重分值</w:t>
            </w:r>
            <w:r>
              <w:rPr>
                <w:rStyle w:val="9"/>
                <w:szCs w:val="21"/>
              </w:rPr>
              <w:footnoteReference w:id="1"/>
            </w:r>
          </w:p>
        </w:tc>
        <w:tc>
          <w:tcPr>
            <w:tcW w:w="3013" w:type="dxa"/>
            <w:vMerge w:val="restart"/>
            <w:noWrap w:val="0"/>
            <w:vAlign w:val="center"/>
          </w:tcPr>
          <w:p>
            <w:pPr>
              <w:adjustRightInd w:val="0"/>
              <w:snapToGrid w:val="0"/>
              <w:jc w:val="center"/>
              <w:rPr>
                <w:szCs w:val="21"/>
              </w:rPr>
            </w:pPr>
            <w:r>
              <w:rPr>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1011" w:type="dxa"/>
            <w:noWrap w:val="0"/>
            <w:vAlign w:val="center"/>
          </w:tcPr>
          <w:p>
            <w:pPr>
              <w:adjustRightInd w:val="0"/>
              <w:snapToGrid w:val="0"/>
              <w:jc w:val="center"/>
              <w:rPr>
                <w:szCs w:val="21"/>
              </w:rPr>
            </w:pPr>
            <w:r>
              <w:rPr>
                <w:szCs w:val="21"/>
              </w:rPr>
              <w:t>条款号</w:t>
            </w:r>
          </w:p>
        </w:tc>
        <w:tc>
          <w:tcPr>
            <w:tcW w:w="979" w:type="dxa"/>
            <w:noWrap w:val="0"/>
            <w:vAlign w:val="center"/>
          </w:tcPr>
          <w:p>
            <w:pPr>
              <w:adjustRightInd w:val="0"/>
              <w:snapToGrid w:val="0"/>
              <w:jc w:val="center"/>
              <w:rPr>
                <w:szCs w:val="21"/>
              </w:rPr>
            </w:pPr>
            <w:r>
              <w:rPr>
                <w:szCs w:val="21"/>
              </w:rPr>
              <w:t>评分</w:t>
            </w:r>
            <w:r>
              <w:rPr>
                <w:szCs w:val="21"/>
              </w:rPr>
              <w:br w:type="textWrapping"/>
            </w:r>
            <w:r>
              <w:rPr>
                <w:szCs w:val="21"/>
              </w:rPr>
              <w:t>因素</w:t>
            </w:r>
          </w:p>
        </w:tc>
        <w:tc>
          <w:tcPr>
            <w:tcW w:w="982" w:type="dxa"/>
            <w:gridSpan w:val="2"/>
            <w:noWrap w:val="0"/>
            <w:vAlign w:val="center"/>
          </w:tcPr>
          <w:p>
            <w:pPr>
              <w:adjustRightInd w:val="0"/>
              <w:snapToGrid w:val="0"/>
              <w:jc w:val="center"/>
              <w:rPr>
                <w:szCs w:val="21"/>
              </w:rPr>
            </w:pPr>
            <w:r>
              <w:rPr>
                <w:szCs w:val="21"/>
              </w:rPr>
              <w:t>评分因素</w:t>
            </w:r>
            <w:r>
              <w:rPr>
                <w:szCs w:val="21"/>
              </w:rPr>
              <w:br w:type="textWrapping"/>
            </w:r>
            <w:r>
              <w:rPr>
                <w:szCs w:val="21"/>
              </w:rPr>
              <w:t>权重分值</w:t>
            </w:r>
          </w:p>
        </w:tc>
        <w:tc>
          <w:tcPr>
            <w:tcW w:w="1889" w:type="dxa"/>
            <w:noWrap w:val="0"/>
            <w:vAlign w:val="center"/>
          </w:tcPr>
          <w:p>
            <w:pPr>
              <w:adjustRightInd w:val="0"/>
              <w:snapToGrid w:val="0"/>
              <w:jc w:val="center"/>
              <w:rPr>
                <w:szCs w:val="21"/>
              </w:rPr>
            </w:pPr>
            <w:r>
              <w:rPr>
                <w:szCs w:val="21"/>
              </w:rPr>
              <w:t>各评分因素细分项</w:t>
            </w:r>
          </w:p>
        </w:tc>
        <w:tc>
          <w:tcPr>
            <w:tcW w:w="1600" w:type="dxa"/>
            <w:gridSpan w:val="2"/>
            <w:noWrap w:val="0"/>
            <w:vAlign w:val="center"/>
          </w:tcPr>
          <w:p>
            <w:pPr>
              <w:adjustRightInd w:val="0"/>
              <w:snapToGrid w:val="0"/>
              <w:jc w:val="center"/>
              <w:rPr>
                <w:szCs w:val="21"/>
              </w:rPr>
            </w:pPr>
            <w:r>
              <w:rPr>
                <w:szCs w:val="21"/>
              </w:rPr>
              <w:t>分值</w:t>
            </w:r>
          </w:p>
        </w:tc>
        <w:tc>
          <w:tcPr>
            <w:tcW w:w="3013" w:type="dxa"/>
            <w:vMerge w:val="continue"/>
            <w:noWrap w:val="0"/>
            <w:vAlign w:val="center"/>
          </w:tcPr>
          <w:p>
            <w:pPr>
              <w:adjustRightInd w:val="0"/>
              <w:snapToGrid w:val="0"/>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41" w:hRule="atLeast"/>
          <w:jc w:val="center"/>
        </w:trPr>
        <w:tc>
          <w:tcPr>
            <w:tcW w:w="1011" w:type="dxa"/>
            <w:vMerge w:val="restart"/>
            <w:noWrap w:val="0"/>
            <w:vAlign w:val="center"/>
          </w:tcPr>
          <w:p>
            <w:pPr>
              <w:adjustRightInd w:val="0"/>
              <w:snapToGrid w:val="0"/>
              <w:jc w:val="center"/>
              <w:rPr>
                <w:rFonts w:ascii="宋体"/>
                <w:szCs w:val="21"/>
              </w:rPr>
            </w:pPr>
            <w:r>
              <w:rPr>
                <w:szCs w:val="21"/>
              </w:rPr>
              <w:t>2</w:t>
            </w:r>
            <w:r>
              <w:rPr>
                <w:rFonts w:ascii="宋体"/>
                <w:szCs w:val="21"/>
              </w:rPr>
              <w:t>.</w:t>
            </w:r>
            <w:r>
              <w:rPr>
                <w:szCs w:val="21"/>
              </w:rPr>
              <w:t>2</w:t>
            </w:r>
            <w:r>
              <w:rPr>
                <w:rFonts w:ascii="宋体"/>
                <w:szCs w:val="21"/>
              </w:rPr>
              <w:t>.</w:t>
            </w:r>
            <w:r>
              <w:rPr>
                <w:szCs w:val="21"/>
              </w:rPr>
              <w:t>4</w:t>
            </w:r>
            <w:r>
              <w:rPr>
                <w:rFonts w:hint="eastAsia" w:ascii="宋体" w:hAnsi="宋体"/>
                <w:szCs w:val="21"/>
              </w:rPr>
              <w:t>（</w:t>
            </w:r>
            <w:r>
              <w:rPr>
                <w:szCs w:val="21"/>
              </w:rPr>
              <w:t>1</w:t>
            </w:r>
            <w:r>
              <w:rPr>
                <w:rFonts w:hint="eastAsia" w:ascii="宋体" w:hAnsi="宋体"/>
                <w:szCs w:val="21"/>
              </w:rPr>
              <w:t>）</w:t>
            </w:r>
          </w:p>
        </w:tc>
        <w:tc>
          <w:tcPr>
            <w:tcW w:w="979" w:type="dxa"/>
            <w:vMerge w:val="restart"/>
            <w:noWrap w:val="0"/>
            <w:vAlign w:val="center"/>
          </w:tcPr>
          <w:p>
            <w:pPr>
              <w:adjustRightInd w:val="0"/>
              <w:snapToGrid w:val="0"/>
              <w:spacing w:line="340" w:lineRule="exact"/>
              <w:jc w:val="center"/>
              <w:rPr>
                <w:szCs w:val="21"/>
              </w:rPr>
            </w:pPr>
            <w:r>
              <w:rPr>
                <w:szCs w:val="21"/>
              </w:rPr>
              <w:t>施工组织设计</w:t>
            </w:r>
          </w:p>
        </w:tc>
        <w:tc>
          <w:tcPr>
            <w:tcW w:w="982" w:type="dxa"/>
            <w:gridSpan w:val="2"/>
            <w:vMerge w:val="restart"/>
            <w:noWrap w:val="0"/>
            <w:vAlign w:val="center"/>
          </w:tcPr>
          <w:p>
            <w:pPr>
              <w:adjustRightInd w:val="0"/>
              <w:snapToGrid w:val="0"/>
              <w:spacing w:line="340" w:lineRule="exact"/>
              <w:jc w:val="center"/>
              <w:rPr>
                <w:sz w:val="24"/>
              </w:rPr>
            </w:pPr>
            <w:r>
              <w:rPr>
                <w:rFonts w:hint="eastAsia"/>
                <w:sz w:val="24"/>
              </w:rPr>
              <w:t>40</w:t>
            </w:r>
            <w:r>
              <w:rPr>
                <w:sz w:val="24"/>
              </w:rPr>
              <w:t>分</w:t>
            </w:r>
          </w:p>
        </w:tc>
        <w:tc>
          <w:tcPr>
            <w:tcW w:w="1889" w:type="dxa"/>
            <w:vMerge w:val="restart"/>
            <w:noWrap w:val="0"/>
            <w:vAlign w:val="center"/>
          </w:tcPr>
          <w:p>
            <w:pPr>
              <w:rPr>
                <w:szCs w:val="21"/>
              </w:rPr>
            </w:pPr>
            <w:r>
              <w:rPr>
                <w:rFonts w:hint="eastAsia"/>
                <w:szCs w:val="21"/>
              </w:rPr>
              <w:t>总体施工组织布置及规划</w:t>
            </w:r>
          </w:p>
        </w:tc>
        <w:tc>
          <w:tcPr>
            <w:tcW w:w="565" w:type="dxa"/>
            <w:vMerge w:val="restart"/>
            <w:noWrap w:val="0"/>
            <w:vAlign w:val="center"/>
          </w:tcPr>
          <w:p>
            <w:pPr>
              <w:autoSpaceDE w:val="0"/>
              <w:autoSpaceDN w:val="0"/>
              <w:adjustRightInd w:val="0"/>
              <w:spacing w:line="400" w:lineRule="exact"/>
              <w:jc w:val="center"/>
              <w:rPr>
                <w:szCs w:val="21"/>
              </w:rPr>
            </w:pPr>
            <w:r>
              <w:rPr>
                <w:rFonts w:hint="eastAsia"/>
                <w:szCs w:val="21"/>
              </w:rPr>
              <w:t>5</w:t>
            </w:r>
          </w:p>
        </w:tc>
        <w:tc>
          <w:tcPr>
            <w:tcW w:w="1035" w:type="dxa"/>
            <w:noWrap w:val="0"/>
            <w:vAlign w:val="center"/>
          </w:tcPr>
          <w:p>
            <w:pPr>
              <w:autoSpaceDE w:val="0"/>
              <w:autoSpaceDN w:val="0"/>
              <w:adjustRightInd w:val="0"/>
              <w:spacing w:line="400" w:lineRule="exact"/>
              <w:jc w:val="center"/>
              <w:rPr>
                <w:szCs w:val="21"/>
              </w:rPr>
            </w:pPr>
            <w:r>
              <w:rPr>
                <w:rFonts w:hint="eastAsia"/>
                <w:szCs w:val="21"/>
              </w:rPr>
              <w:t>4</w:t>
            </w:r>
            <w:r>
              <w:rPr>
                <w:szCs w:val="21"/>
              </w:rPr>
              <w:t>～</w:t>
            </w:r>
            <w:r>
              <w:rPr>
                <w:rFonts w:hint="eastAsia"/>
                <w:szCs w:val="21"/>
              </w:rPr>
              <w:t>5</w:t>
            </w:r>
          </w:p>
        </w:tc>
        <w:tc>
          <w:tcPr>
            <w:tcW w:w="3013" w:type="dxa"/>
            <w:noWrap w:val="0"/>
            <w:vAlign w:val="center"/>
          </w:tcPr>
          <w:p>
            <w:pPr>
              <w:widowControl/>
              <w:jc w:val="left"/>
              <w:rPr>
                <w:szCs w:val="21"/>
              </w:rPr>
            </w:pPr>
            <w:r>
              <w:rPr>
                <w:rFonts w:hint="eastAsia"/>
                <w:szCs w:val="21"/>
              </w:rPr>
              <w:t>总</w:t>
            </w:r>
            <w:r>
              <w:rPr>
                <w:szCs w:val="21"/>
              </w:rPr>
              <w:t>体方案</w:t>
            </w:r>
            <w:r>
              <w:rPr>
                <w:rFonts w:hint="eastAsia"/>
                <w:szCs w:val="21"/>
              </w:rPr>
              <w:t>切</w:t>
            </w:r>
            <w:r>
              <w:rPr>
                <w:szCs w:val="21"/>
              </w:rPr>
              <w:t>实可行，对本项目</w:t>
            </w:r>
            <w:r>
              <w:rPr>
                <w:rFonts w:hint="eastAsia"/>
                <w:szCs w:val="21"/>
              </w:rPr>
              <w:t>具</w:t>
            </w:r>
            <w:r>
              <w:rPr>
                <w:szCs w:val="21"/>
              </w:rPr>
              <w:t xml:space="preserve">有针对性。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41" w:hRule="atLeast"/>
          <w:jc w:val="center"/>
        </w:trPr>
        <w:tc>
          <w:tcPr>
            <w:tcW w:w="1011" w:type="dxa"/>
            <w:vMerge w:val="continue"/>
            <w:noWrap w:val="0"/>
            <w:vAlign w:val="center"/>
          </w:tcPr>
          <w:p>
            <w:pPr>
              <w:adjustRightInd w:val="0"/>
              <w:snapToGrid w:val="0"/>
              <w:jc w:val="center"/>
              <w:rPr>
                <w:szCs w:val="21"/>
              </w:rPr>
            </w:pPr>
          </w:p>
        </w:tc>
        <w:tc>
          <w:tcPr>
            <w:tcW w:w="979" w:type="dxa"/>
            <w:vMerge w:val="continue"/>
            <w:noWrap w:val="0"/>
            <w:textDirection w:val="tbRlV"/>
            <w:vAlign w:val="center"/>
          </w:tcPr>
          <w:p>
            <w:pPr>
              <w:adjustRightInd w:val="0"/>
              <w:snapToGrid w:val="0"/>
              <w:ind w:left="113" w:right="113"/>
              <w:jc w:val="center"/>
              <w:rPr>
                <w:rFonts w:ascii="宋体"/>
                <w:szCs w:val="21"/>
              </w:rPr>
            </w:pPr>
          </w:p>
        </w:tc>
        <w:tc>
          <w:tcPr>
            <w:tcW w:w="982" w:type="dxa"/>
            <w:gridSpan w:val="2"/>
            <w:vMerge w:val="continue"/>
            <w:noWrap w:val="0"/>
            <w:vAlign w:val="center"/>
          </w:tcPr>
          <w:p>
            <w:pPr>
              <w:adjustRightInd w:val="0"/>
              <w:snapToGrid w:val="0"/>
              <w:jc w:val="center"/>
              <w:rPr>
                <w:rFonts w:ascii="宋体"/>
                <w:szCs w:val="21"/>
                <w:u w:val="single"/>
              </w:rPr>
            </w:pPr>
          </w:p>
        </w:tc>
        <w:tc>
          <w:tcPr>
            <w:tcW w:w="1889" w:type="dxa"/>
            <w:vMerge w:val="continue"/>
            <w:noWrap w:val="0"/>
            <w:vAlign w:val="center"/>
          </w:tcPr>
          <w:p>
            <w:pPr>
              <w:rPr>
                <w:szCs w:val="21"/>
              </w:rPr>
            </w:pPr>
          </w:p>
        </w:tc>
        <w:tc>
          <w:tcPr>
            <w:tcW w:w="565" w:type="dxa"/>
            <w:vMerge w:val="continue"/>
            <w:noWrap w:val="0"/>
            <w:vAlign w:val="center"/>
          </w:tcPr>
          <w:p>
            <w:pPr>
              <w:autoSpaceDE w:val="0"/>
              <w:autoSpaceDN w:val="0"/>
              <w:adjustRightInd w:val="0"/>
              <w:spacing w:line="400" w:lineRule="exact"/>
              <w:jc w:val="center"/>
              <w:rPr>
                <w:szCs w:val="21"/>
              </w:rPr>
            </w:pPr>
          </w:p>
        </w:tc>
        <w:tc>
          <w:tcPr>
            <w:tcW w:w="1035" w:type="dxa"/>
            <w:noWrap w:val="0"/>
            <w:vAlign w:val="center"/>
          </w:tcPr>
          <w:p>
            <w:pPr>
              <w:autoSpaceDE w:val="0"/>
              <w:autoSpaceDN w:val="0"/>
              <w:adjustRightInd w:val="0"/>
              <w:spacing w:line="400" w:lineRule="exact"/>
              <w:jc w:val="center"/>
              <w:rPr>
                <w:szCs w:val="21"/>
              </w:rPr>
            </w:pPr>
            <w:r>
              <w:rPr>
                <w:rFonts w:hint="eastAsia"/>
                <w:szCs w:val="21"/>
              </w:rPr>
              <w:t>3</w:t>
            </w:r>
            <w:r>
              <w:rPr>
                <w:szCs w:val="21"/>
              </w:rPr>
              <w:t>～</w:t>
            </w:r>
            <w:r>
              <w:rPr>
                <w:rFonts w:hint="eastAsia"/>
                <w:szCs w:val="21"/>
              </w:rPr>
              <w:t>4</w:t>
            </w:r>
          </w:p>
        </w:tc>
        <w:tc>
          <w:tcPr>
            <w:tcW w:w="3013" w:type="dxa"/>
            <w:noWrap w:val="0"/>
            <w:vAlign w:val="center"/>
          </w:tcPr>
          <w:p>
            <w:pPr>
              <w:widowControl/>
              <w:jc w:val="left"/>
              <w:rPr>
                <w:szCs w:val="21"/>
              </w:rPr>
            </w:pPr>
            <w:r>
              <w:rPr>
                <w:szCs w:val="21"/>
              </w:rPr>
              <w:t>总体方案较满足要求</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41" w:hRule="atLeast"/>
          <w:jc w:val="center"/>
        </w:trPr>
        <w:tc>
          <w:tcPr>
            <w:tcW w:w="1011" w:type="dxa"/>
            <w:vMerge w:val="continue"/>
            <w:noWrap w:val="0"/>
            <w:vAlign w:val="center"/>
          </w:tcPr>
          <w:p>
            <w:pPr>
              <w:adjustRightInd w:val="0"/>
              <w:snapToGrid w:val="0"/>
              <w:jc w:val="center"/>
              <w:rPr>
                <w:szCs w:val="21"/>
              </w:rPr>
            </w:pPr>
          </w:p>
        </w:tc>
        <w:tc>
          <w:tcPr>
            <w:tcW w:w="979" w:type="dxa"/>
            <w:vMerge w:val="continue"/>
            <w:noWrap w:val="0"/>
            <w:textDirection w:val="tbRlV"/>
            <w:vAlign w:val="center"/>
          </w:tcPr>
          <w:p>
            <w:pPr>
              <w:adjustRightInd w:val="0"/>
              <w:snapToGrid w:val="0"/>
              <w:ind w:left="113" w:right="113"/>
              <w:jc w:val="center"/>
              <w:rPr>
                <w:rFonts w:ascii="宋体"/>
                <w:szCs w:val="21"/>
              </w:rPr>
            </w:pPr>
          </w:p>
        </w:tc>
        <w:tc>
          <w:tcPr>
            <w:tcW w:w="982" w:type="dxa"/>
            <w:gridSpan w:val="2"/>
            <w:vMerge w:val="continue"/>
            <w:noWrap w:val="0"/>
            <w:vAlign w:val="center"/>
          </w:tcPr>
          <w:p>
            <w:pPr>
              <w:adjustRightInd w:val="0"/>
              <w:snapToGrid w:val="0"/>
              <w:jc w:val="center"/>
              <w:rPr>
                <w:rFonts w:ascii="宋体"/>
                <w:szCs w:val="21"/>
                <w:u w:val="single"/>
              </w:rPr>
            </w:pPr>
          </w:p>
        </w:tc>
        <w:tc>
          <w:tcPr>
            <w:tcW w:w="1889" w:type="dxa"/>
            <w:vMerge w:val="continue"/>
            <w:noWrap w:val="0"/>
            <w:vAlign w:val="center"/>
          </w:tcPr>
          <w:p>
            <w:pPr>
              <w:rPr>
                <w:szCs w:val="21"/>
              </w:rPr>
            </w:pPr>
          </w:p>
        </w:tc>
        <w:tc>
          <w:tcPr>
            <w:tcW w:w="565" w:type="dxa"/>
            <w:vMerge w:val="continue"/>
            <w:noWrap w:val="0"/>
            <w:vAlign w:val="center"/>
          </w:tcPr>
          <w:p>
            <w:pPr>
              <w:autoSpaceDE w:val="0"/>
              <w:autoSpaceDN w:val="0"/>
              <w:adjustRightInd w:val="0"/>
              <w:spacing w:line="400" w:lineRule="exact"/>
              <w:jc w:val="center"/>
              <w:rPr>
                <w:szCs w:val="21"/>
              </w:rPr>
            </w:pPr>
          </w:p>
        </w:tc>
        <w:tc>
          <w:tcPr>
            <w:tcW w:w="1035" w:type="dxa"/>
            <w:noWrap w:val="0"/>
            <w:vAlign w:val="center"/>
          </w:tcPr>
          <w:p>
            <w:pPr>
              <w:autoSpaceDE w:val="0"/>
              <w:autoSpaceDN w:val="0"/>
              <w:adjustRightInd w:val="0"/>
              <w:spacing w:line="400" w:lineRule="exact"/>
              <w:jc w:val="center"/>
              <w:rPr>
                <w:szCs w:val="21"/>
              </w:rPr>
            </w:pPr>
            <w:r>
              <w:rPr>
                <w:rFonts w:hint="eastAsia"/>
                <w:szCs w:val="21"/>
              </w:rPr>
              <w:t>3</w:t>
            </w:r>
          </w:p>
        </w:tc>
        <w:tc>
          <w:tcPr>
            <w:tcW w:w="3013" w:type="dxa"/>
            <w:noWrap w:val="0"/>
            <w:vAlign w:val="center"/>
          </w:tcPr>
          <w:p>
            <w:pPr>
              <w:widowControl/>
              <w:jc w:val="left"/>
              <w:rPr>
                <w:szCs w:val="21"/>
              </w:rPr>
            </w:pPr>
            <w:r>
              <w:rPr>
                <w:rFonts w:hint="eastAsia"/>
              </w:rPr>
              <w:t>总</w:t>
            </w:r>
            <w:r>
              <w:t>体方案</w:t>
            </w:r>
            <w:r>
              <w:rPr>
                <w:rFonts w:hint="eastAsia"/>
              </w:rPr>
              <w:t>基</w:t>
            </w:r>
            <w:r>
              <w:t>本满足</w:t>
            </w:r>
            <w:r>
              <w:rPr>
                <w:rFonts w:hint="eastAsia"/>
              </w:rPr>
              <w:t>要</w:t>
            </w:r>
            <w:r>
              <w:t>求</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41" w:hRule="atLeast"/>
          <w:jc w:val="center"/>
        </w:trPr>
        <w:tc>
          <w:tcPr>
            <w:tcW w:w="1011" w:type="dxa"/>
            <w:vMerge w:val="continue"/>
            <w:noWrap w:val="0"/>
            <w:vAlign w:val="center"/>
          </w:tcPr>
          <w:p>
            <w:pPr>
              <w:adjustRightInd w:val="0"/>
              <w:snapToGrid w:val="0"/>
              <w:jc w:val="center"/>
              <w:rPr>
                <w:szCs w:val="21"/>
              </w:rPr>
            </w:pPr>
          </w:p>
        </w:tc>
        <w:tc>
          <w:tcPr>
            <w:tcW w:w="979" w:type="dxa"/>
            <w:vMerge w:val="continue"/>
            <w:noWrap w:val="0"/>
            <w:textDirection w:val="tbRlV"/>
            <w:vAlign w:val="center"/>
          </w:tcPr>
          <w:p>
            <w:pPr>
              <w:adjustRightInd w:val="0"/>
              <w:snapToGrid w:val="0"/>
              <w:ind w:left="113" w:right="113"/>
              <w:jc w:val="center"/>
              <w:rPr>
                <w:rFonts w:ascii="宋体"/>
                <w:szCs w:val="21"/>
              </w:rPr>
            </w:pPr>
          </w:p>
        </w:tc>
        <w:tc>
          <w:tcPr>
            <w:tcW w:w="982" w:type="dxa"/>
            <w:gridSpan w:val="2"/>
            <w:vMerge w:val="continue"/>
            <w:noWrap w:val="0"/>
            <w:vAlign w:val="center"/>
          </w:tcPr>
          <w:p>
            <w:pPr>
              <w:adjustRightInd w:val="0"/>
              <w:snapToGrid w:val="0"/>
              <w:jc w:val="center"/>
              <w:rPr>
                <w:rFonts w:ascii="宋体"/>
                <w:szCs w:val="21"/>
                <w:u w:val="single"/>
              </w:rPr>
            </w:pPr>
          </w:p>
        </w:tc>
        <w:tc>
          <w:tcPr>
            <w:tcW w:w="1889" w:type="dxa"/>
            <w:vMerge w:val="restart"/>
            <w:noWrap w:val="0"/>
            <w:vAlign w:val="center"/>
          </w:tcPr>
          <w:p>
            <w:pPr>
              <w:rPr>
                <w:szCs w:val="21"/>
              </w:rPr>
            </w:pPr>
            <w:r>
              <w:rPr>
                <w:rFonts w:hint="eastAsia"/>
                <w:szCs w:val="21"/>
              </w:rPr>
              <w:t>主要工程项目的施工方案、方法与技术措施</w:t>
            </w:r>
          </w:p>
        </w:tc>
        <w:tc>
          <w:tcPr>
            <w:tcW w:w="565" w:type="dxa"/>
            <w:vMerge w:val="restart"/>
            <w:noWrap w:val="0"/>
            <w:vAlign w:val="center"/>
          </w:tcPr>
          <w:p>
            <w:pPr>
              <w:autoSpaceDE w:val="0"/>
              <w:autoSpaceDN w:val="0"/>
              <w:adjustRightInd w:val="0"/>
              <w:spacing w:line="400" w:lineRule="exact"/>
              <w:jc w:val="center"/>
              <w:rPr>
                <w:szCs w:val="21"/>
              </w:rPr>
            </w:pPr>
            <w:r>
              <w:rPr>
                <w:rFonts w:hint="eastAsia"/>
                <w:szCs w:val="21"/>
              </w:rPr>
              <w:t>5</w:t>
            </w:r>
          </w:p>
        </w:tc>
        <w:tc>
          <w:tcPr>
            <w:tcW w:w="1035" w:type="dxa"/>
            <w:noWrap w:val="0"/>
            <w:vAlign w:val="center"/>
          </w:tcPr>
          <w:p>
            <w:pPr>
              <w:autoSpaceDE w:val="0"/>
              <w:autoSpaceDN w:val="0"/>
              <w:adjustRightInd w:val="0"/>
              <w:spacing w:line="400" w:lineRule="exact"/>
              <w:jc w:val="center"/>
              <w:rPr>
                <w:szCs w:val="21"/>
              </w:rPr>
            </w:pPr>
            <w:r>
              <w:rPr>
                <w:rFonts w:hint="eastAsia"/>
                <w:szCs w:val="21"/>
              </w:rPr>
              <w:t>4</w:t>
            </w:r>
            <w:r>
              <w:rPr>
                <w:szCs w:val="21"/>
              </w:rPr>
              <w:t>～</w:t>
            </w:r>
            <w:r>
              <w:rPr>
                <w:rFonts w:hint="eastAsia"/>
                <w:szCs w:val="21"/>
              </w:rPr>
              <w:t>5</w:t>
            </w:r>
          </w:p>
        </w:tc>
        <w:tc>
          <w:tcPr>
            <w:tcW w:w="3013" w:type="dxa"/>
            <w:noWrap w:val="0"/>
            <w:vAlign w:val="center"/>
          </w:tcPr>
          <w:p>
            <w:pPr>
              <w:widowControl/>
              <w:jc w:val="left"/>
              <w:rPr>
                <w:szCs w:val="21"/>
              </w:rPr>
            </w:pPr>
            <w:r>
              <w:t>内容</w:t>
            </w:r>
            <w:r>
              <w:rPr>
                <w:rFonts w:hint="eastAsia"/>
              </w:rPr>
              <w:t>齐全</w:t>
            </w:r>
            <w:r>
              <w:t>、完</w:t>
            </w:r>
            <w:r>
              <w:rPr>
                <w:rFonts w:hint="eastAsia"/>
              </w:rPr>
              <w:t>善</w:t>
            </w:r>
            <w:r>
              <w:t>；</w:t>
            </w:r>
            <w:r>
              <w:rPr>
                <w:rFonts w:hint="eastAsia"/>
              </w:rPr>
              <w:t>工程保证</w:t>
            </w:r>
            <w:r>
              <w:t>体</w:t>
            </w:r>
            <w:r>
              <w:rPr>
                <w:rFonts w:hint="eastAsia"/>
              </w:rPr>
              <w:t>系</w:t>
            </w:r>
            <w:r>
              <w:t>和</w:t>
            </w:r>
            <w:r>
              <w:rPr>
                <w:rFonts w:hint="eastAsia"/>
              </w:rPr>
              <w:t>保证</w:t>
            </w:r>
            <w:r>
              <w:t>措施</w:t>
            </w:r>
            <w:r>
              <w:rPr>
                <w:rFonts w:hint="eastAsia"/>
              </w:rPr>
              <w:t>具有</w:t>
            </w:r>
            <w:r>
              <w:t>操作性</w:t>
            </w:r>
            <w:r>
              <w:rPr>
                <w:rFonts w:hint="eastAsia"/>
              </w:rPr>
              <w:t>、先</w:t>
            </w:r>
            <w:r>
              <w:t>进、合理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35" w:hRule="atLeast"/>
          <w:jc w:val="center"/>
        </w:trPr>
        <w:tc>
          <w:tcPr>
            <w:tcW w:w="1011" w:type="dxa"/>
            <w:vMerge w:val="continue"/>
            <w:noWrap w:val="0"/>
            <w:vAlign w:val="center"/>
          </w:tcPr>
          <w:p>
            <w:pPr>
              <w:adjustRightInd w:val="0"/>
              <w:snapToGrid w:val="0"/>
              <w:jc w:val="center"/>
              <w:rPr>
                <w:szCs w:val="21"/>
              </w:rPr>
            </w:pPr>
          </w:p>
        </w:tc>
        <w:tc>
          <w:tcPr>
            <w:tcW w:w="979" w:type="dxa"/>
            <w:vMerge w:val="continue"/>
            <w:noWrap w:val="0"/>
            <w:textDirection w:val="tbRlV"/>
            <w:vAlign w:val="center"/>
          </w:tcPr>
          <w:p>
            <w:pPr>
              <w:adjustRightInd w:val="0"/>
              <w:snapToGrid w:val="0"/>
              <w:ind w:left="113" w:right="113"/>
              <w:jc w:val="center"/>
              <w:rPr>
                <w:rFonts w:ascii="宋体"/>
                <w:szCs w:val="21"/>
              </w:rPr>
            </w:pPr>
          </w:p>
        </w:tc>
        <w:tc>
          <w:tcPr>
            <w:tcW w:w="982" w:type="dxa"/>
            <w:gridSpan w:val="2"/>
            <w:vMerge w:val="continue"/>
            <w:noWrap w:val="0"/>
            <w:vAlign w:val="center"/>
          </w:tcPr>
          <w:p>
            <w:pPr>
              <w:adjustRightInd w:val="0"/>
              <w:snapToGrid w:val="0"/>
              <w:jc w:val="center"/>
              <w:rPr>
                <w:rFonts w:ascii="宋体"/>
                <w:szCs w:val="21"/>
                <w:u w:val="single"/>
              </w:rPr>
            </w:pPr>
          </w:p>
        </w:tc>
        <w:tc>
          <w:tcPr>
            <w:tcW w:w="1889" w:type="dxa"/>
            <w:vMerge w:val="continue"/>
            <w:noWrap w:val="0"/>
            <w:vAlign w:val="center"/>
          </w:tcPr>
          <w:p>
            <w:pPr>
              <w:rPr>
                <w:szCs w:val="21"/>
              </w:rPr>
            </w:pPr>
          </w:p>
        </w:tc>
        <w:tc>
          <w:tcPr>
            <w:tcW w:w="565" w:type="dxa"/>
            <w:vMerge w:val="continue"/>
            <w:noWrap w:val="0"/>
            <w:vAlign w:val="center"/>
          </w:tcPr>
          <w:p>
            <w:pPr>
              <w:autoSpaceDE w:val="0"/>
              <w:autoSpaceDN w:val="0"/>
              <w:adjustRightInd w:val="0"/>
              <w:spacing w:line="400" w:lineRule="exact"/>
              <w:jc w:val="center"/>
              <w:rPr>
                <w:szCs w:val="21"/>
              </w:rPr>
            </w:pPr>
          </w:p>
        </w:tc>
        <w:tc>
          <w:tcPr>
            <w:tcW w:w="1035" w:type="dxa"/>
            <w:noWrap w:val="0"/>
            <w:vAlign w:val="center"/>
          </w:tcPr>
          <w:p>
            <w:pPr>
              <w:autoSpaceDE w:val="0"/>
              <w:autoSpaceDN w:val="0"/>
              <w:adjustRightInd w:val="0"/>
              <w:spacing w:line="400" w:lineRule="exact"/>
              <w:jc w:val="center"/>
              <w:rPr>
                <w:szCs w:val="21"/>
              </w:rPr>
            </w:pPr>
            <w:r>
              <w:rPr>
                <w:rFonts w:hint="eastAsia"/>
                <w:szCs w:val="21"/>
              </w:rPr>
              <w:t>3</w:t>
            </w:r>
            <w:r>
              <w:rPr>
                <w:szCs w:val="21"/>
              </w:rPr>
              <w:t>～</w:t>
            </w:r>
            <w:r>
              <w:rPr>
                <w:rFonts w:hint="eastAsia"/>
                <w:szCs w:val="21"/>
              </w:rPr>
              <w:t>4</w:t>
            </w:r>
          </w:p>
        </w:tc>
        <w:tc>
          <w:tcPr>
            <w:tcW w:w="3013" w:type="dxa"/>
            <w:noWrap w:val="0"/>
            <w:vAlign w:val="center"/>
          </w:tcPr>
          <w:p>
            <w:pPr>
              <w:widowControl/>
              <w:jc w:val="left"/>
              <w:rPr>
                <w:szCs w:val="21"/>
              </w:rPr>
            </w:pPr>
            <w:r>
              <w:t>内容较完整；方案与措施满足施工要求</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36" w:hRule="atLeast"/>
          <w:jc w:val="center"/>
        </w:trPr>
        <w:tc>
          <w:tcPr>
            <w:tcW w:w="1011" w:type="dxa"/>
            <w:vMerge w:val="continue"/>
            <w:noWrap w:val="0"/>
            <w:vAlign w:val="center"/>
          </w:tcPr>
          <w:p>
            <w:pPr>
              <w:adjustRightInd w:val="0"/>
              <w:snapToGrid w:val="0"/>
              <w:jc w:val="center"/>
              <w:rPr>
                <w:szCs w:val="21"/>
              </w:rPr>
            </w:pPr>
          </w:p>
        </w:tc>
        <w:tc>
          <w:tcPr>
            <w:tcW w:w="979" w:type="dxa"/>
            <w:vMerge w:val="continue"/>
            <w:noWrap w:val="0"/>
            <w:textDirection w:val="tbRlV"/>
            <w:vAlign w:val="center"/>
          </w:tcPr>
          <w:p>
            <w:pPr>
              <w:adjustRightInd w:val="0"/>
              <w:snapToGrid w:val="0"/>
              <w:ind w:left="113" w:right="113"/>
              <w:jc w:val="center"/>
              <w:rPr>
                <w:rFonts w:ascii="宋体"/>
                <w:szCs w:val="21"/>
              </w:rPr>
            </w:pPr>
          </w:p>
        </w:tc>
        <w:tc>
          <w:tcPr>
            <w:tcW w:w="982" w:type="dxa"/>
            <w:gridSpan w:val="2"/>
            <w:vMerge w:val="continue"/>
            <w:noWrap w:val="0"/>
            <w:vAlign w:val="center"/>
          </w:tcPr>
          <w:p>
            <w:pPr>
              <w:adjustRightInd w:val="0"/>
              <w:snapToGrid w:val="0"/>
              <w:jc w:val="center"/>
              <w:rPr>
                <w:rFonts w:ascii="宋体"/>
                <w:szCs w:val="21"/>
                <w:u w:val="single"/>
              </w:rPr>
            </w:pPr>
          </w:p>
        </w:tc>
        <w:tc>
          <w:tcPr>
            <w:tcW w:w="1889" w:type="dxa"/>
            <w:vMerge w:val="continue"/>
            <w:noWrap w:val="0"/>
            <w:vAlign w:val="center"/>
          </w:tcPr>
          <w:p>
            <w:pPr>
              <w:rPr>
                <w:szCs w:val="21"/>
              </w:rPr>
            </w:pPr>
          </w:p>
        </w:tc>
        <w:tc>
          <w:tcPr>
            <w:tcW w:w="565" w:type="dxa"/>
            <w:vMerge w:val="continue"/>
            <w:noWrap w:val="0"/>
            <w:vAlign w:val="center"/>
          </w:tcPr>
          <w:p>
            <w:pPr>
              <w:autoSpaceDE w:val="0"/>
              <w:autoSpaceDN w:val="0"/>
              <w:adjustRightInd w:val="0"/>
              <w:spacing w:line="400" w:lineRule="exact"/>
              <w:jc w:val="center"/>
              <w:rPr>
                <w:szCs w:val="21"/>
              </w:rPr>
            </w:pPr>
          </w:p>
        </w:tc>
        <w:tc>
          <w:tcPr>
            <w:tcW w:w="1035" w:type="dxa"/>
            <w:noWrap w:val="0"/>
            <w:vAlign w:val="center"/>
          </w:tcPr>
          <w:p>
            <w:pPr>
              <w:autoSpaceDE w:val="0"/>
              <w:autoSpaceDN w:val="0"/>
              <w:adjustRightInd w:val="0"/>
              <w:spacing w:line="400" w:lineRule="exact"/>
              <w:jc w:val="center"/>
              <w:rPr>
                <w:szCs w:val="21"/>
              </w:rPr>
            </w:pPr>
            <w:r>
              <w:rPr>
                <w:rFonts w:hint="eastAsia"/>
                <w:szCs w:val="21"/>
              </w:rPr>
              <w:t>3</w:t>
            </w:r>
          </w:p>
        </w:tc>
        <w:tc>
          <w:tcPr>
            <w:tcW w:w="3013" w:type="dxa"/>
            <w:noWrap w:val="0"/>
            <w:vAlign w:val="center"/>
          </w:tcPr>
          <w:p>
            <w:pPr>
              <w:widowControl/>
              <w:jc w:val="left"/>
              <w:rPr>
                <w:szCs w:val="21"/>
              </w:rPr>
            </w:pPr>
            <w:r>
              <w:t>内容完整；方案与措施基本满足施工要求</w:t>
            </w:r>
            <w:r>
              <w:rPr>
                <w:rFonts w:hint="eastAsia"/>
              </w:rPr>
              <w:t>。</w:t>
            </w: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41" w:hRule="atLeast"/>
          <w:jc w:val="center"/>
        </w:trPr>
        <w:tc>
          <w:tcPr>
            <w:tcW w:w="1011" w:type="dxa"/>
            <w:vMerge w:val="continue"/>
            <w:noWrap w:val="0"/>
            <w:vAlign w:val="center"/>
          </w:tcPr>
          <w:p>
            <w:pPr>
              <w:adjustRightInd w:val="0"/>
              <w:snapToGrid w:val="0"/>
              <w:jc w:val="center"/>
              <w:rPr>
                <w:szCs w:val="21"/>
              </w:rPr>
            </w:pPr>
          </w:p>
        </w:tc>
        <w:tc>
          <w:tcPr>
            <w:tcW w:w="979" w:type="dxa"/>
            <w:vMerge w:val="continue"/>
            <w:noWrap w:val="0"/>
            <w:textDirection w:val="tbRlV"/>
            <w:vAlign w:val="center"/>
          </w:tcPr>
          <w:p>
            <w:pPr>
              <w:adjustRightInd w:val="0"/>
              <w:snapToGrid w:val="0"/>
              <w:ind w:left="113" w:right="113"/>
              <w:jc w:val="center"/>
              <w:rPr>
                <w:rFonts w:ascii="宋体"/>
                <w:szCs w:val="21"/>
              </w:rPr>
            </w:pPr>
          </w:p>
        </w:tc>
        <w:tc>
          <w:tcPr>
            <w:tcW w:w="982" w:type="dxa"/>
            <w:gridSpan w:val="2"/>
            <w:vMerge w:val="continue"/>
            <w:noWrap w:val="0"/>
            <w:vAlign w:val="center"/>
          </w:tcPr>
          <w:p>
            <w:pPr>
              <w:adjustRightInd w:val="0"/>
              <w:snapToGrid w:val="0"/>
              <w:jc w:val="center"/>
              <w:rPr>
                <w:rFonts w:ascii="宋体"/>
                <w:szCs w:val="21"/>
                <w:u w:val="single"/>
              </w:rPr>
            </w:pPr>
          </w:p>
        </w:tc>
        <w:tc>
          <w:tcPr>
            <w:tcW w:w="1889" w:type="dxa"/>
            <w:vMerge w:val="restart"/>
            <w:noWrap w:val="0"/>
            <w:vAlign w:val="center"/>
          </w:tcPr>
          <w:p>
            <w:pPr>
              <w:rPr>
                <w:szCs w:val="21"/>
              </w:rPr>
            </w:pPr>
            <w:r>
              <w:rPr>
                <w:rFonts w:hint="eastAsia"/>
                <w:szCs w:val="21"/>
              </w:rPr>
              <w:t>工期保证体系及保证措施</w:t>
            </w:r>
          </w:p>
        </w:tc>
        <w:tc>
          <w:tcPr>
            <w:tcW w:w="565" w:type="dxa"/>
            <w:vMerge w:val="restart"/>
            <w:noWrap w:val="0"/>
            <w:vAlign w:val="center"/>
          </w:tcPr>
          <w:p>
            <w:pPr>
              <w:autoSpaceDE w:val="0"/>
              <w:autoSpaceDN w:val="0"/>
              <w:adjustRightInd w:val="0"/>
              <w:spacing w:line="400" w:lineRule="exact"/>
              <w:jc w:val="center"/>
              <w:rPr>
                <w:szCs w:val="21"/>
              </w:rPr>
            </w:pPr>
            <w:r>
              <w:rPr>
                <w:rFonts w:hint="eastAsia"/>
                <w:szCs w:val="21"/>
              </w:rPr>
              <w:t>5</w:t>
            </w:r>
          </w:p>
        </w:tc>
        <w:tc>
          <w:tcPr>
            <w:tcW w:w="1035" w:type="dxa"/>
            <w:noWrap w:val="0"/>
            <w:vAlign w:val="center"/>
          </w:tcPr>
          <w:p>
            <w:pPr>
              <w:autoSpaceDE w:val="0"/>
              <w:autoSpaceDN w:val="0"/>
              <w:adjustRightInd w:val="0"/>
              <w:spacing w:line="400" w:lineRule="exact"/>
              <w:jc w:val="center"/>
              <w:rPr>
                <w:szCs w:val="21"/>
              </w:rPr>
            </w:pPr>
            <w:r>
              <w:rPr>
                <w:rFonts w:hint="eastAsia"/>
                <w:szCs w:val="21"/>
              </w:rPr>
              <w:t>4</w:t>
            </w:r>
            <w:r>
              <w:rPr>
                <w:szCs w:val="21"/>
              </w:rPr>
              <w:t>～</w:t>
            </w:r>
            <w:r>
              <w:rPr>
                <w:rFonts w:hint="eastAsia"/>
                <w:szCs w:val="21"/>
              </w:rPr>
              <w:t>5</w:t>
            </w:r>
          </w:p>
        </w:tc>
        <w:tc>
          <w:tcPr>
            <w:tcW w:w="3013" w:type="dxa"/>
            <w:noWrap w:val="0"/>
            <w:vAlign w:val="center"/>
          </w:tcPr>
          <w:p>
            <w:pPr>
              <w:widowControl/>
              <w:jc w:val="left"/>
              <w:rPr>
                <w:szCs w:val="21"/>
              </w:rPr>
            </w:pPr>
            <w:r>
              <w:rPr>
                <w:rFonts w:hint="eastAsia"/>
              </w:rPr>
              <w:t>工期保证</w:t>
            </w:r>
            <w:r>
              <w:t>体</w:t>
            </w:r>
            <w:r>
              <w:rPr>
                <w:rFonts w:hint="eastAsia"/>
              </w:rPr>
              <w:t>系</w:t>
            </w:r>
            <w:r>
              <w:t>和</w:t>
            </w:r>
            <w:r>
              <w:rPr>
                <w:rFonts w:hint="eastAsia"/>
              </w:rPr>
              <w:t>保证</w:t>
            </w:r>
            <w:r>
              <w:t>措施</w:t>
            </w:r>
            <w:r>
              <w:rPr>
                <w:rFonts w:hint="eastAsia"/>
              </w:rPr>
              <w:t>具有</w:t>
            </w:r>
            <w:r>
              <w:t>操作性</w:t>
            </w:r>
            <w:r>
              <w:rPr>
                <w:rFonts w:hint="eastAsia"/>
              </w:rPr>
              <w:t>、先</w:t>
            </w:r>
            <w:r>
              <w:t>进、合理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40" w:hRule="atLeast"/>
          <w:jc w:val="center"/>
        </w:trPr>
        <w:tc>
          <w:tcPr>
            <w:tcW w:w="1011" w:type="dxa"/>
            <w:vMerge w:val="continue"/>
            <w:noWrap w:val="0"/>
            <w:vAlign w:val="center"/>
          </w:tcPr>
          <w:p>
            <w:pPr>
              <w:adjustRightInd w:val="0"/>
              <w:snapToGrid w:val="0"/>
              <w:jc w:val="center"/>
              <w:rPr>
                <w:szCs w:val="21"/>
              </w:rPr>
            </w:pPr>
          </w:p>
        </w:tc>
        <w:tc>
          <w:tcPr>
            <w:tcW w:w="979" w:type="dxa"/>
            <w:vMerge w:val="continue"/>
            <w:noWrap w:val="0"/>
            <w:textDirection w:val="tbRlV"/>
            <w:vAlign w:val="center"/>
          </w:tcPr>
          <w:p>
            <w:pPr>
              <w:adjustRightInd w:val="0"/>
              <w:snapToGrid w:val="0"/>
              <w:ind w:left="113" w:right="113"/>
              <w:jc w:val="center"/>
              <w:rPr>
                <w:rFonts w:ascii="宋体"/>
                <w:szCs w:val="21"/>
              </w:rPr>
            </w:pPr>
          </w:p>
        </w:tc>
        <w:tc>
          <w:tcPr>
            <w:tcW w:w="982" w:type="dxa"/>
            <w:gridSpan w:val="2"/>
            <w:vMerge w:val="continue"/>
            <w:noWrap w:val="0"/>
            <w:vAlign w:val="center"/>
          </w:tcPr>
          <w:p>
            <w:pPr>
              <w:adjustRightInd w:val="0"/>
              <w:snapToGrid w:val="0"/>
              <w:jc w:val="center"/>
              <w:rPr>
                <w:rFonts w:ascii="宋体"/>
                <w:szCs w:val="21"/>
                <w:u w:val="single"/>
              </w:rPr>
            </w:pPr>
          </w:p>
        </w:tc>
        <w:tc>
          <w:tcPr>
            <w:tcW w:w="1889" w:type="dxa"/>
            <w:vMerge w:val="continue"/>
            <w:noWrap w:val="0"/>
            <w:vAlign w:val="center"/>
          </w:tcPr>
          <w:p>
            <w:pPr>
              <w:rPr>
                <w:szCs w:val="21"/>
              </w:rPr>
            </w:pPr>
          </w:p>
        </w:tc>
        <w:tc>
          <w:tcPr>
            <w:tcW w:w="565" w:type="dxa"/>
            <w:vMerge w:val="continue"/>
            <w:noWrap w:val="0"/>
            <w:vAlign w:val="center"/>
          </w:tcPr>
          <w:p>
            <w:pPr>
              <w:autoSpaceDE w:val="0"/>
              <w:autoSpaceDN w:val="0"/>
              <w:adjustRightInd w:val="0"/>
              <w:spacing w:line="400" w:lineRule="exact"/>
              <w:jc w:val="center"/>
              <w:rPr>
                <w:szCs w:val="21"/>
              </w:rPr>
            </w:pPr>
          </w:p>
        </w:tc>
        <w:tc>
          <w:tcPr>
            <w:tcW w:w="1035" w:type="dxa"/>
            <w:noWrap w:val="0"/>
            <w:vAlign w:val="center"/>
          </w:tcPr>
          <w:p>
            <w:pPr>
              <w:autoSpaceDE w:val="0"/>
              <w:autoSpaceDN w:val="0"/>
              <w:adjustRightInd w:val="0"/>
              <w:spacing w:line="400" w:lineRule="exact"/>
              <w:jc w:val="center"/>
              <w:rPr>
                <w:szCs w:val="21"/>
              </w:rPr>
            </w:pPr>
            <w:r>
              <w:rPr>
                <w:rFonts w:hint="eastAsia"/>
                <w:szCs w:val="21"/>
              </w:rPr>
              <w:t>3</w:t>
            </w:r>
            <w:r>
              <w:rPr>
                <w:szCs w:val="21"/>
              </w:rPr>
              <w:t>～</w:t>
            </w:r>
            <w:r>
              <w:rPr>
                <w:rFonts w:hint="eastAsia"/>
                <w:szCs w:val="21"/>
              </w:rPr>
              <w:t>4</w:t>
            </w:r>
          </w:p>
        </w:tc>
        <w:tc>
          <w:tcPr>
            <w:tcW w:w="3013" w:type="dxa"/>
            <w:noWrap w:val="0"/>
            <w:vAlign w:val="center"/>
          </w:tcPr>
          <w:p>
            <w:pPr>
              <w:widowControl/>
              <w:jc w:val="left"/>
              <w:rPr>
                <w:szCs w:val="21"/>
              </w:rPr>
            </w:pPr>
            <w:r>
              <w:t>方案与措施满足施工要求</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64" w:hRule="atLeast"/>
          <w:jc w:val="center"/>
        </w:trPr>
        <w:tc>
          <w:tcPr>
            <w:tcW w:w="1011" w:type="dxa"/>
            <w:vMerge w:val="continue"/>
            <w:noWrap w:val="0"/>
            <w:vAlign w:val="center"/>
          </w:tcPr>
          <w:p>
            <w:pPr>
              <w:adjustRightInd w:val="0"/>
              <w:snapToGrid w:val="0"/>
              <w:jc w:val="center"/>
              <w:rPr>
                <w:szCs w:val="21"/>
              </w:rPr>
            </w:pPr>
          </w:p>
        </w:tc>
        <w:tc>
          <w:tcPr>
            <w:tcW w:w="979" w:type="dxa"/>
            <w:vMerge w:val="continue"/>
            <w:noWrap w:val="0"/>
            <w:textDirection w:val="tbRlV"/>
            <w:vAlign w:val="center"/>
          </w:tcPr>
          <w:p>
            <w:pPr>
              <w:adjustRightInd w:val="0"/>
              <w:snapToGrid w:val="0"/>
              <w:ind w:left="113" w:right="113"/>
              <w:jc w:val="center"/>
              <w:rPr>
                <w:rFonts w:ascii="宋体"/>
                <w:szCs w:val="21"/>
              </w:rPr>
            </w:pPr>
          </w:p>
        </w:tc>
        <w:tc>
          <w:tcPr>
            <w:tcW w:w="982" w:type="dxa"/>
            <w:gridSpan w:val="2"/>
            <w:vMerge w:val="continue"/>
            <w:noWrap w:val="0"/>
            <w:vAlign w:val="center"/>
          </w:tcPr>
          <w:p>
            <w:pPr>
              <w:adjustRightInd w:val="0"/>
              <w:snapToGrid w:val="0"/>
              <w:jc w:val="center"/>
              <w:rPr>
                <w:rFonts w:ascii="宋体"/>
                <w:szCs w:val="21"/>
                <w:u w:val="single"/>
              </w:rPr>
            </w:pPr>
          </w:p>
        </w:tc>
        <w:tc>
          <w:tcPr>
            <w:tcW w:w="1889" w:type="dxa"/>
            <w:vMerge w:val="continue"/>
            <w:noWrap w:val="0"/>
            <w:vAlign w:val="center"/>
          </w:tcPr>
          <w:p>
            <w:pPr>
              <w:rPr>
                <w:szCs w:val="21"/>
              </w:rPr>
            </w:pPr>
          </w:p>
        </w:tc>
        <w:tc>
          <w:tcPr>
            <w:tcW w:w="565" w:type="dxa"/>
            <w:vMerge w:val="continue"/>
            <w:noWrap w:val="0"/>
            <w:vAlign w:val="center"/>
          </w:tcPr>
          <w:p>
            <w:pPr>
              <w:autoSpaceDE w:val="0"/>
              <w:autoSpaceDN w:val="0"/>
              <w:adjustRightInd w:val="0"/>
              <w:spacing w:line="400" w:lineRule="exact"/>
              <w:jc w:val="center"/>
              <w:rPr>
                <w:szCs w:val="21"/>
              </w:rPr>
            </w:pPr>
          </w:p>
        </w:tc>
        <w:tc>
          <w:tcPr>
            <w:tcW w:w="1035" w:type="dxa"/>
            <w:noWrap w:val="0"/>
            <w:vAlign w:val="center"/>
          </w:tcPr>
          <w:p>
            <w:pPr>
              <w:autoSpaceDE w:val="0"/>
              <w:autoSpaceDN w:val="0"/>
              <w:adjustRightInd w:val="0"/>
              <w:spacing w:line="400" w:lineRule="exact"/>
              <w:jc w:val="center"/>
              <w:rPr>
                <w:szCs w:val="21"/>
              </w:rPr>
            </w:pPr>
            <w:r>
              <w:rPr>
                <w:rFonts w:hint="eastAsia"/>
                <w:szCs w:val="21"/>
              </w:rPr>
              <w:t>3</w:t>
            </w:r>
          </w:p>
        </w:tc>
        <w:tc>
          <w:tcPr>
            <w:tcW w:w="3013" w:type="dxa"/>
            <w:noWrap w:val="0"/>
            <w:vAlign w:val="center"/>
          </w:tcPr>
          <w:p>
            <w:pPr>
              <w:widowControl/>
              <w:jc w:val="left"/>
              <w:rPr>
                <w:szCs w:val="21"/>
              </w:rPr>
            </w:pPr>
            <w:r>
              <w:t>方案与措施基本满足施工要求</w:t>
            </w:r>
            <w:r>
              <w:rPr>
                <w:rFonts w:hint="eastAsia"/>
              </w:rPr>
              <w:t>。</w:t>
            </w: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9" w:hRule="atLeast"/>
          <w:jc w:val="center"/>
        </w:trPr>
        <w:tc>
          <w:tcPr>
            <w:tcW w:w="1011" w:type="dxa"/>
            <w:vMerge w:val="continue"/>
            <w:noWrap w:val="0"/>
            <w:vAlign w:val="center"/>
          </w:tcPr>
          <w:p>
            <w:pPr>
              <w:adjustRightInd w:val="0"/>
              <w:snapToGrid w:val="0"/>
              <w:jc w:val="center"/>
              <w:rPr>
                <w:szCs w:val="21"/>
              </w:rPr>
            </w:pPr>
          </w:p>
        </w:tc>
        <w:tc>
          <w:tcPr>
            <w:tcW w:w="979" w:type="dxa"/>
            <w:vMerge w:val="continue"/>
            <w:noWrap w:val="0"/>
            <w:textDirection w:val="tbRlV"/>
            <w:vAlign w:val="center"/>
          </w:tcPr>
          <w:p>
            <w:pPr>
              <w:adjustRightInd w:val="0"/>
              <w:snapToGrid w:val="0"/>
              <w:ind w:left="113" w:right="113"/>
              <w:jc w:val="center"/>
              <w:rPr>
                <w:rFonts w:ascii="宋体"/>
                <w:szCs w:val="21"/>
              </w:rPr>
            </w:pPr>
          </w:p>
        </w:tc>
        <w:tc>
          <w:tcPr>
            <w:tcW w:w="982" w:type="dxa"/>
            <w:gridSpan w:val="2"/>
            <w:vMerge w:val="continue"/>
            <w:noWrap w:val="0"/>
            <w:vAlign w:val="center"/>
          </w:tcPr>
          <w:p>
            <w:pPr>
              <w:adjustRightInd w:val="0"/>
              <w:snapToGrid w:val="0"/>
              <w:jc w:val="center"/>
              <w:rPr>
                <w:rFonts w:ascii="宋体"/>
                <w:szCs w:val="21"/>
                <w:u w:val="single"/>
              </w:rPr>
            </w:pPr>
          </w:p>
        </w:tc>
        <w:tc>
          <w:tcPr>
            <w:tcW w:w="1889" w:type="dxa"/>
            <w:vMerge w:val="restart"/>
            <w:noWrap w:val="0"/>
            <w:vAlign w:val="center"/>
          </w:tcPr>
          <w:p>
            <w:pPr>
              <w:rPr>
                <w:szCs w:val="21"/>
              </w:rPr>
            </w:pPr>
            <w:r>
              <w:rPr>
                <w:rFonts w:hint="eastAsia"/>
                <w:szCs w:val="21"/>
              </w:rPr>
              <w:t>工程质量管理体系及保证措施</w:t>
            </w:r>
          </w:p>
        </w:tc>
        <w:tc>
          <w:tcPr>
            <w:tcW w:w="565" w:type="dxa"/>
            <w:vMerge w:val="restart"/>
            <w:noWrap w:val="0"/>
            <w:vAlign w:val="center"/>
          </w:tcPr>
          <w:p>
            <w:pPr>
              <w:autoSpaceDE w:val="0"/>
              <w:autoSpaceDN w:val="0"/>
              <w:adjustRightInd w:val="0"/>
              <w:spacing w:line="400" w:lineRule="exact"/>
              <w:jc w:val="center"/>
              <w:rPr>
                <w:szCs w:val="21"/>
              </w:rPr>
            </w:pPr>
            <w:r>
              <w:rPr>
                <w:rFonts w:hint="eastAsia"/>
                <w:szCs w:val="21"/>
              </w:rPr>
              <w:t>5</w:t>
            </w:r>
          </w:p>
        </w:tc>
        <w:tc>
          <w:tcPr>
            <w:tcW w:w="1035" w:type="dxa"/>
            <w:noWrap w:val="0"/>
            <w:vAlign w:val="center"/>
          </w:tcPr>
          <w:p>
            <w:pPr>
              <w:autoSpaceDE w:val="0"/>
              <w:autoSpaceDN w:val="0"/>
              <w:adjustRightInd w:val="0"/>
              <w:spacing w:line="400" w:lineRule="exact"/>
              <w:jc w:val="center"/>
              <w:rPr>
                <w:szCs w:val="21"/>
              </w:rPr>
            </w:pPr>
            <w:r>
              <w:rPr>
                <w:rFonts w:hint="eastAsia"/>
                <w:szCs w:val="21"/>
              </w:rPr>
              <w:t>4</w:t>
            </w:r>
            <w:r>
              <w:rPr>
                <w:szCs w:val="21"/>
              </w:rPr>
              <w:t>～</w:t>
            </w:r>
            <w:r>
              <w:rPr>
                <w:rFonts w:hint="eastAsia"/>
                <w:szCs w:val="21"/>
              </w:rPr>
              <w:t>5</w:t>
            </w:r>
          </w:p>
        </w:tc>
        <w:tc>
          <w:tcPr>
            <w:tcW w:w="3013" w:type="dxa"/>
            <w:noWrap w:val="0"/>
            <w:vAlign w:val="center"/>
          </w:tcPr>
          <w:p>
            <w:pPr>
              <w:widowControl/>
              <w:jc w:val="left"/>
              <w:rPr>
                <w:szCs w:val="21"/>
              </w:rPr>
            </w:pPr>
            <w:r>
              <w:rPr>
                <w:rFonts w:hint="eastAsia"/>
              </w:rPr>
              <w:t>工程质量管理</w:t>
            </w:r>
            <w:r>
              <w:t>体</w:t>
            </w:r>
            <w:r>
              <w:rPr>
                <w:rFonts w:hint="eastAsia"/>
              </w:rPr>
              <w:t>系</w:t>
            </w:r>
            <w:r>
              <w:t>和</w:t>
            </w:r>
            <w:r>
              <w:rPr>
                <w:rFonts w:hint="eastAsia"/>
              </w:rPr>
              <w:t>保证</w:t>
            </w:r>
            <w:r>
              <w:t>措施</w:t>
            </w:r>
            <w:r>
              <w:rPr>
                <w:rFonts w:hint="eastAsia"/>
              </w:rPr>
              <w:t>具有</w:t>
            </w:r>
            <w:r>
              <w:t>操作性</w:t>
            </w:r>
            <w:r>
              <w:rPr>
                <w:rFonts w:hint="eastAsia"/>
              </w:rPr>
              <w:t>、先</w:t>
            </w:r>
            <w:r>
              <w:t>进、合理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11" w:hRule="atLeast"/>
          <w:jc w:val="center"/>
        </w:trPr>
        <w:tc>
          <w:tcPr>
            <w:tcW w:w="1011" w:type="dxa"/>
            <w:vMerge w:val="continue"/>
            <w:noWrap w:val="0"/>
            <w:vAlign w:val="center"/>
          </w:tcPr>
          <w:p>
            <w:pPr>
              <w:adjustRightInd w:val="0"/>
              <w:snapToGrid w:val="0"/>
              <w:jc w:val="center"/>
              <w:rPr>
                <w:szCs w:val="21"/>
              </w:rPr>
            </w:pPr>
          </w:p>
        </w:tc>
        <w:tc>
          <w:tcPr>
            <w:tcW w:w="979" w:type="dxa"/>
            <w:vMerge w:val="continue"/>
            <w:noWrap w:val="0"/>
            <w:textDirection w:val="tbRlV"/>
            <w:vAlign w:val="center"/>
          </w:tcPr>
          <w:p>
            <w:pPr>
              <w:adjustRightInd w:val="0"/>
              <w:snapToGrid w:val="0"/>
              <w:ind w:left="113" w:right="113"/>
              <w:jc w:val="center"/>
              <w:rPr>
                <w:rFonts w:ascii="宋体"/>
                <w:szCs w:val="21"/>
              </w:rPr>
            </w:pPr>
          </w:p>
        </w:tc>
        <w:tc>
          <w:tcPr>
            <w:tcW w:w="982" w:type="dxa"/>
            <w:gridSpan w:val="2"/>
            <w:vMerge w:val="continue"/>
            <w:noWrap w:val="0"/>
            <w:vAlign w:val="center"/>
          </w:tcPr>
          <w:p>
            <w:pPr>
              <w:adjustRightInd w:val="0"/>
              <w:snapToGrid w:val="0"/>
              <w:jc w:val="center"/>
              <w:rPr>
                <w:rFonts w:ascii="宋体"/>
                <w:szCs w:val="21"/>
                <w:u w:val="single"/>
              </w:rPr>
            </w:pPr>
          </w:p>
        </w:tc>
        <w:tc>
          <w:tcPr>
            <w:tcW w:w="1889" w:type="dxa"/>
            <w:vMerge w:val="continue"/>
            <w:noWrap w:val="0"/>
            <w:vAlign w:val="center"/>
          </w:tcPr>
          <w:p>
            <w:pPr>
              <w:rPr>
                <w:szCs w:val="21"/>
              </w:rPr>
            </w:pPr>
          </w:p>
        </w:tc>
        <w:tc>
          <w:tcPr>
            <w:tcW w:w="565" w:type="dxa"/>
            <w:vMerge w:val="continue"/>
            <w:noWrap w:val="0"/>
            <w:vAlign w:val="center"/>
          </w:tcPr>
          <w:p>
            <w:pPr>
              <w:autoSpaceDE w:val="0"/>
              <w:autoSpaceDN w:val="0"/>
              <w:adjustRightInd w:val="0"/>
              <w:spacing w:line="400" w:lineRule="exact"/>
              <w:jc w:val="center"/>
              <w:rPr>
                <w:szCs w:val="21"/>
              </w:rPr>
            </w:pPr>
          </w:p>
        </w:tc>
        <w:tc>
          <w:tcPr>
            <w:tcW w:w="1035" w:type="dxa"/>
            <w:noWrap w:val="0"/>
            <w:vAlign w:val="center"/>
          </w:tcPr>
          <w:p>
            <w:pPr>
              <w:autoSpaceDE w:val="0"/>
              <w:autoSpaceDN w:val="0"/>
              <w:adjustRightInd w:val="0"/>
              <w:spacing w:line="400" w:lineRule="exact"/>
              <w:jc w:val="center"/>
              <w:rPr>
                <w:szCs w:val="21"/>
              </w:rPr>
            </w:pPr>
            <w:r>
              <w:rPr>
                <w:rFonts w:hint="eastAsia"/>
                <w:szCs w:val="21"/>
              </w:rPr>
              <w:t>3</w:t>
            </w:r>
            <w:r>
              <w:rPr>
                <w:szCs w:val="21"/>
              </w:rPr>
              <w:t>～</w:t>
            </w:r>
            <w:r>
              <w:rPr>
                <w:rFonts w:hint="eastAsia"/>
                <w:szCs w:val="21"/>
              </w:rPr>
              <w:t>4</w:t>
            </w:r>
          </w:p>
        </w:tc>
        <w:tc>
          <w:tcPr>
            <w:tcW w:w="3013" w:type="dxa"/>
            <w:noWrap w:val="0"/>
            <w:vAlign w:val="center"/>
          </w:tcPr>
          <w:p>
            <w:pPr>
              <w:widowControl/>
              <w:jc w:val="left"/>
              <w:rPr>
                <w:szCs w:val="21"/>
              </w:rPr>
            </w:pPr>
            <w:r>
              <w:t>方案与措施满足施工要求</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16" w:hRule="atLeast"/>
          <w:jc w:val="center"/>
        </w:trPr>
        <w:tc>
          <w:tcPr>
            <w:tcW w:w="1011" w:type="dxa"/>
            <w:vMerge w:val="continue"/>
            <w:noWrap w:val="0"/>
            <w:vAlign w:val="center"/>
          </w:tcPr>
          <w:p>
            <w:pPr>
              <w:adjustRightInd w:val="0"/>
              <w:snapToGrid w:val="0"/>
              <w:jc w:val="center"/>
              <w:rPr>
                <w:szCs w:val="21"/>
              </w:rPr>
            </w:pPr>
          </w:p>
        </w:tc>
        <w:tc>
          <w:tcPr>
            <w:tcW w:w="979" w:type="dxa"/>
            <w:vMerge w:val="continue"/>
            <w:noWrap w:val="0"/>
            <w:textDirection w:val="tbRlV"/>
            <w:vAlign w:val="center"/>
          </w:tcPr>
          <w:p>
            <w:pPr>
              <w:adjustRightInd w:val="0"/>
              <w:snapToGrid w:val="0"/>
              <w:ind w:left="113" w:right="113"/>
              <w:jc w:val="center"/>
              <w:rPr>
                <w:rFonts w:ascii="宋体"/>
                <w:szCs w:val="21"/>
              </w:rPr>
            </w:pPr>
          </w:p>
        </w:tc>
        <w:tc>
          <w:tcPr>
            <w:tcW w:w="982" w:type="dxa"/>
            <w:gridSpan w:val="2"/>
            <w:vMerge w:val="continue"/>
            <w:noWrap w:val="0"/>
            <w:vAlign w:val="center"/>
          </w:tcPr>
          <w:p>
            <w:pPr>
              <w:adjustRightInd w:val="0"/>
              <w:snapToGrid w:val="0"/>
              <w:jc w:val="center"/>
              <w:rPr>
                <w:rFonts w:ascii="宋体"/>
                <w:szCs w:val="21"/>
                <w:u w:val="single"/>
              </w:rPr>
            </w:pPr>
          </w:p>
        </w:tc>
        <w:tc>
          <w:tcPr>
            <w:tcW w:w="1889" w:type="dxa"/>
            <w:vMerge w:val="continue"/>
            <w:noWrap w:val="0"/>
            <w:vAlign w:val="center"/>
          </w:tcPr>
          <w:p>
            <w:pPr>
              <w:rPr>
                <w:szCs w:val="21"/>
              </w:rPr>
            </w:pPr>
          </w:p>
        </w:tc>
        <w:tc>
          <w:tcPr>
            <w:tcW w:w="565" w:type="dxa"/>
            <w:vMerge w:val="continue"/>
            <w:noWrap w:val="0"/>
            <w:vAlign w:val="center"/>
          </w:tcPr>
          <w:p>
            <w:pPr>
              <w:autoSpaceDE w:val="0"/>
              <w:autoSpaceDN w:val="0"/>
              <w:adjustRightInd w:val="0"/>
              <w:spacing w:line="400" w:lineRule="exact"/>
              <w:jc w:val="center"/>
              <w:rPr>
                <w:szCs w:val="21"/>
              </w:rPr>
            </w:pPr>
          </w:p>
        </w:tc>
        <w:tc>
          <w:tcPr>
            <w:tcW w:w="1035" w:type="dxa"/>
            <w:noWrap w:val="0"/>
            <w:vAlign w:val="center"/>
          </w:tcPr>
          <w:p>
            <w:pPr>
              <w:autoSpaceDE w:val="0"/>
              <w:autoSpaceDN w:val="0"/>
              <w:adjustRightInd w:val="0"/>
              <w:spacing w:line="400" w:lineRule="exact"/>
              <w:jc w:val="center"/>
              <w:rPr>
                <w:szCs w:val="21"/>
              </w:rPr>
            </w:pPr>
            <w:r>
              <w:rPr>
                <w:rFonts w:hint="eastAsia"/>
                <w:szCs w:val="21"/>
              </w:rPr>
              <w:t>3</w:t>
            </w:r>
          </w:p>
        </w:tc>
        <w:tc>
          <w:tcPr>
            <w:tcW w:w="3013" w:type="dxa"/>
            <w:noWrap w:val="0"/>
            <w:vAlign w:val="center"/>
          </w:tcPr>
          <w:p>
            <w:pPr>
              <w:widowControl/>
              <w:jc w:val="left"/>
              <w:rPr>
                <w:szCs w:val="21"/>
              </w:rPr>
            </w:pPr>
            <w:r>
              <w:t>方案与措施基本满足施工要求</w:t>
            </w:r>
            <w:r>
              <w:rPr>
                <w:rFonts w:hint="eastAsia"/>
              </w:rPr>
              <w:t>。</w:t>
            </w: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09" w:hRule="atLeast"/>
          <w:jc w:val="center"/>
        </w:trPr>
        <w:tc>
          <w:tcPr>
            <w:tcW w:w="1011" w:type="dxa"/>
            <w:vMerge w:val="continue"/>
            <w:noWrap w:val="0"/>
            <w:vAlign w:val="center"/>
          </w:tcPr>
          <w:p>
            <w:pPr>
              <w:adjustRightInd w:val="0"/>
              <w:snapToGrid w:val="0"/>
              <w:jc w:val="center"/>
              <w:rPr>
                <w:szCs w:val="21"/>
              </w:rPr>
            </w:pPr>
          </w:p>
        </w:tc>
        <w:tc>
          <w:tcPr>
            <w:tcW w:w="979" w:type="dxa"/>
            <w:vMerge w:val="continue"/>
            <w:noWrap w:val="0"/>
            <w:textDirection w:val="tbRlV"/>
            <w:vAlign w:val="center"/>
          </w:tcPr>
          <w:p>
            <w:pPr>
              <w:adjustRightInd w:val="0"/>
              <w:snapToGrid w:val="0"/>
              <w:ind w:left="113" w:right="113"/>
              <w:jc w:val="center"/>
              <w:rPr>
                <w:rFonts w:ascii="宋体"/>
                <w:szCs w:val="21"/>
              </w:rPr>
            </w:pPr>
          </w:p>
        </w:tc>
        <w:tc>
          <w:tcPr>
            <w:tcW w:w="982" w:type="dxa"/>
            <w:gridSpan w:val="2"/>
            <w:vMerge w:val="continue"/>
            <w:noWrap w:val="0"/>
            <w:vAlign w:val="center"/>
          </w:tcPr>
          <w:p>
            <w:pPr>
              <w:adjustRightInd w:val="0"/>
              <w:snapToGrid w:val="0"/>
              <w:jc w:val="center"/>
              <w:rPr>
                <w:rFonts w:ascii="宋体"/>
                <w:szCs w:val="21"/>
                <w:u w:val="single"/>
              </w:rPr>
            </w:pPr>
          </w:p>
        </w:tc>
        <w:tc>
          <w:tcPr>
            <w:tcW w:w="1889" w:type="dxa"/>
            <w:vMerge w:val="restart"/>
            <w:noWrap w:val="0"/>
            <w:vAlign w:val="center"/>
          </w:tcPr>
          <w:p>
            <w:pPr>
              <w:rPr>
                <w:szCs w:val="21"/>
              </w:rPr>
            </w:pPr>
            <w:r>
              <w:rPr>
                <w:rFonts w:hint="eastAsia"/>
                <w:szCs w:val="21"/>
              </w:rPr>
              <w:t>安全生产管理体系及保证措施</w:t>
            </w:r>
          </w:p>
        </w:tc>
        <w:tc>
          <w:tcPr>
            <w:tcW w:w="565" w:type="dxa"/>
            <w:vMerge w:val="restart"/>
            <w:noWrap w:val="0"/>
            <w:vAlign w:val="center"/>
          </w:tcPr>
          <w:p>
            <w:pPr>
              <w:autoSpaceDE w:val="0"/>
              <w:autoSpaceDN w:val="0"/>
              <w:adjustRightInd w:val="0"/>
              <w:spacing w:line="400" w:lineRule="exact"/>
              <w:jc w:val="center"/>
              <w:rPr>
                <w:szCs w:val="21"/>
              </w:rPr>
            </w:pPr>
            <w:r>
              <w:rPr>
                <w:rFonts w:hint="eastAsia"/>
                <w:szCs w:val="21"/>
              </w:rPr>
              <w:t>5</w:t>
            </w:r>
          </w:p>
        </w:tc>
        <w:tc>
          <w:tcPr>
            <w:tcW w:w="1035" w:type="dxa"/>
            <w:noWrap w:val="0"/>
            <w:vAlign w:val="center"/>
          </w:tcPr>
          <w:p>
            <w:pPr>
              <w:autoSpaceDE w:val="0"/>
              <w:autoSpaceDN w:val="0"/>
              <w:adjustRightInd w:val="0"/>
              <w:spacing w:line="400" w:lineRule="exact"/>
              <w:jc w:val="center"/>
              <w:rPr>
                <w:szCs w:val="21"/>
              </w:rPr>
            </w:pPr>
            <w:r>
              <w:rPr>
                <w:rFonts w:hint="eastAsia"/>
                <w:szCs w:val="21"/>
              </w:rPr>
              <w:t>4</w:t>
            </w:r>
            <w:r>
              <w:rPr>
                <w:szCs w:val="21"/>
              </w:rPr>
              <w:t>～</w:t>
            </w:r>
            <w:r>
              <w:rPr>
                <w:rFonts w:hint="eastAsia"/>
                <w:szCs w:val="21"/>
              </w:rPr>
              <w:t>5</w:t>
            </w:r>
          </w:p>
        </w:tc>
        <w:tc>
          <w:tcPr>
            <w:tcW w:w="3013" w:type="dxa"/>
            <w:noWrap w:val="0"/>
            <w:vAlign w:val="center"/>
          </w:tcPr>
          <w:p>
            <w:pPr>
              <w:widowControl/>
              <w:jc w:val="left"/>
              <w:rPr>
                <w:szCs w:val="21"/>
              </w:rPr>
            </w:pPr>
            <w:r>
              <w:rPr>
                <w:rFonts w:hint="eastAsia"/>
                <w:szCs w:val="21"/>
              </w:rPr>
              <w:t>安全生产管理</w:t>
            </w:r>
            <w:r>
              <w:t>体</w:t>
            </w:r>
            <w:r>
              <w:rPr>
                <w:rFonts w:hint="eastAsia"/>
              </w:rPr>
              <w:t>系</w:t>
            </w:r>
            <w:r>
              <w:t>和</w:t>
            </w:r>
            <w:r>
              <w:rPr>
                <w:rFonts w:hint="eastAsia"/>
              </w:rPr>
              <w:t>保证</w:t>
            </w:r>
            <w:r>
              <w:t>措施</w:t>
            </w:r>
            <w:r>
              <w:rPr>
                <w:rFonts w:hint="eastAsia"/>
              </w:rPr>
              <w:t>具有</w:t>
            </w:r>
            <w:r>
              <w:t>操作性</w:t>
            </w:r>
            <w:r>
              <w:rPr>
                <w:rFonts w:hint="eastAsia"/>
              </w:rPr>
              <w:t>、先</w:t>
            </w:r>
            <w:r>
              <w:t>进、合理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9" w:hRule="atLeast"/>
          <w:jc w:val="center"/>
        </w:trPr>
        <w:tc>
          <w:tcPr>
            <w:tcW w:w="1011" w:type="dxa"/>
            <w:vMerge w:val="continue"/>
            <w:noWrap w:val="0"/>
            <w:vAlign w:val="center"/>
          </w:tcPr>
          <w:p>
            <w:pPr>
              <w:adjustRightInd w:val="0"/>
              <w:snapToGrid w:val="0"/>
              <w:jc w:val="center"/>
              <w:rPr>
                <w:szCs w:val="21"/>
              </w:rPr>
            </w:pPr>
          </w:p>
        </w:tc>
        <w:tc>
          <w:tcPr>
            <w:tcW w:w="979" w:type="dxa"/>
            <w:vMerge w:val="continue"/>
            <w:noWrap w:val="0"/>
            <w:textDirection w:val="tbRlV"/>
            <w:vAlign w:val="center"/>
          </w:tcPr>
          <w:p>
            <w:pPr>
              <w:adjustRightInd w:val="0"/>
              <w:snapToGrid w:val="0"/>
              <w:ind w:left="113" w:right="113"/>
              <w:jc w:val="center"/>
              <w:rPr>
                <w:rFonts w:ascii="宋体"/>
                <w:szCs w:val="21"/>
              </w:rPr>
            </w:pPr>
          </w:p>
        </w:tc>
        <w:tc>
          <w:tcPr>
            <w:tcW w:w="982" w:type="dxa"/>
            <w:gridSpan w:val="2"/>
            <w:vMerge w:val="continue"/>
            <w:noWrap w:val="0"/>
            <w:vAlign w:val="center"/>
          </w:tcPr>
          <w:p>
            <w:pPr>
              <w:adjustRightInd w:val="0"/>
              <w:snapToGrid w:val="0"/>
              <w:jc w:val="center"/>
              <w:rPr>
                <w:rFonts w:ascii="宋体"/>
                <w:szCs w:val="21"/>
                <w:u w:val="single"/>
              </w:rPr>
            </w:pPr>
          </w:p>
        </w:tc>
        <w:tc>
          <w:tcPr>
            <w:tcW w:w="1889" w:type="dxa"/>
            <w:vMerge w:val="continue"/>
            <w:noWrap w:val="0"/>
            <w:vAlign w:val="center"/>
          </w:tcPr>
          <w:p>
            <w:pPr>
              <w:rPr>
                <w:szCs w:val="21"/>
              </w:rPr>
            </w:pPr>
          </w:p>
        </w:tc>
        <w:tc>
          <w:tcPr>
            <w:tcW w:w="565" w:type="dxa"/>
            <w:vMerge w:val="continue"/>
            <w:noWrap w:val="0"/>
            <w:vAlign w:val="center"/>
          </w:tcPr>
          <w:p>
            <w:pPr>
              <w:autoSpaceDE w:val="0"/>
              <w:autoSpaceDN w:val="0"/>
              <w:adjustRightInd w:val="0"/>
              <w:spacing w:line="400" w:lineRule="exact"/>
              <w:jc w:val="center"/>
              <w:rPr>
                <w:szCs w:val="21"/>
              </w:rPr>
            </w:pPr>
          </w:p>
        </w:tc>
        <w:tc>
          <w:tcPr>
            <w:tcW w:w="1035" w:type="dxa"/>
            <w:noWrap w:val="0"/>
            <w:vAlign w:val="center"/>
          </w:tcPr>
          <w:p>
            <w:pPr>
              <w:autoSpaceDE w:val="0"/>
              <w:autoSpaceDN w:val="0"/>
              <w:adjustRightInd w:val="0"/>
              <w:spacing w:line="400" w:lineRule="exact"/>
              <w:jc w:val="center"/>
              <w:rPr>
                <w:szCs w:val="21"/>
              </w:rPr>
            </w:pPr>
            <w:r>
              <w:rPr>
                <w:rFonts w:hint="eastAsia"/>
                <w:szCs w:val="21"/>
              </w:rPr>
              <w:t>3</w:t>
            </w:r>
            <w:r>
              <w:rPr>
                <w:szCs w:val="21"/>
              </w:rPr>
              <w:t>～</w:t>
            </w:r>
            <w:r>
              <w:rPr>
                <w:rFonts w:hint="eastAsia"/>
                <w:szCs w:val="21"/>
              </w:rPr>
              <w:t>4</w:t>
            </w:r>
          </w:p>
        </w:tc>
        <w:tc>
          <w:tcPr>
            <w:tcW w:w="3013" w:type="dxa"/>
            <w:noWrap w:val="0"/>
            <w:vAlign w:val="center"/>
          </w:tcPr>
          <w:p>
            <w:pPr>
              <w:widowControl/>
              <w:jc w:val="left"/>
              <w:rPr>
                <w:szCs w:val="21"/>
              </w:rPr>
            </w:pPr>
            <w:r>
              <w:t>方案与措施满足施工要求</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74" w:hRule="atLeast"/>
          <w:jc w:val="center"/>
        </w:trPr>
        <w:tc>
          <w:tcPr>
            <w:tcW w:w="1011" w:type="dxa"/>
            <w:vMerge w:val="continue"/>
            <w:noWrap w:val="0"/>
            <w:vAlign w:val="center"/>
          </w:tcPr>
          <w:p>
            <w:pPr>
              <w:adjustRightInd w:val="0"/>
              <w:snapToGrid w:val="0"/>
              <w:jc w:val="center"/>
              <w:rPr>
                <w:szCs w:val="21"/>
              </w:rPr>
            </w:pPr>
          </w:p>
        </w:tc>
        <w:tc>
          <w:tcPr>
            <w:tcW w:w="979" w:type="dxa"/>
            <w:vMerge w:val="continue"/>
            <w:noWrap w:val="0"/>
            <w:textDirection w:val="tbRlV"/>
            <w:vAlign w:val="center"/>
          </w:tcPr>
          <w:p>
            <w:pPr>
              <w:adjustRightInd w:val="0"/>
              <w:snapToGrid w:val="0"/>
              <w:ind w:left="113" w:right="113"/>
              <w:jc w:val="center"/>
              <w:rPr>
                <w:rFonts w:ascii="宋体"/>
                <w:szCs w:val="21"/>
              </w:rPr>
            </w:pPr>
          </w:p>
        </w:tc>
        <w:tc>
          <w:tcPr>
            <w:tcW w:w="982" w:type="dxa"/>
            <w:gridSpan w:val="2"/>
            <w:vMerge w:val="continue"/>
            <w:noWrap w:val="0"/>
            <w:vAlign w:val="center"/>
          </w:tcPr>
          <w:p>
            <w:pPr>
              <w:adjustRightInd w:val="0"/>
              <w:snapToGrid w:val="0"/>
              <w:jc w:val="center"/>
              <w:rPr>
                <w:rFonts w:ascii="宋体"/>
                <w:szCs w:val="21"/>
                <w:u w:val="single"/>
              </w:rPr>
            </w:pPr>
          </w:p>
        </w:tc>
        <w:tc>
          <w:tcPr>
            <w:tcW w:w="1889" w:type="dxa"/>
            <w:vMerge w:val="continue"/>
            <w:noWrap w:val="0"/>
            <w:vAlign w:val="center"/>
          </w:tcPr>
          <w:p>
            <w:pPr>
              <w:rPr>
                <w:szCs w:val="21"/>
              </w:rPr>
            </w:pPr>
          </w:p>
        </w:tc>
        <w:tc>
          <w:tcPr>
            <w:tcW w:w="565" w:type="dxa"/>
            <w:vMerge w:val="continue"/>
            <w:noWrap w:val="0"/>
            <w:vAlign w:val="center"/>
          </w:tcPr>
          <w:p>
            <w:pPr>
              <w:autoSpaceDE w:val="0"/>
              <w:autoSpaceDN w:val="0"/>
              <w:adjustRightInd w:val="0"/>
              <w:spacing w:line="400" w:lineRule="exact"/>
              <w:jc w:val="center"/>
              <w:rPr>
                <w:szCs w:val="21"/>
              </w:rPr>
            </w:pPr>
          </w:p>
        </w:tc>
        <w:tc>
          <w:tcPr>
            <w:tcW w:w="1035" w:type="dxa"/>
            <w:noWrap w:val="0"/>
            <w:vAlign w:val="center"/>
          </w:tcPr>
          <w:p>
            <w:pPr>
              <w:autoSpaceDE w:val="0"/>
              <w:autoSpaceDN w:val="0"/>
              <w:adjustRightInd w:val="0"/>
              <w:spacing w:line="400" w:lineRule="exact"/>
              <w:jc w:val="center"/>
              <w:rPr>
                <w:szCs w:val="21"/>
              </w:rPr>
            </w:pPr>
            <w:r>
              <w:rPr>
                <w:rFonts w:hint="eastAsia"/>
                <w:szCs w:val="21"/>
              </w:rPr>
              <w:t>3</w:t>
            </w:r>
          </w:p>
        </w:tc>
        <w:tc>
          <w:tcPr>
            <w:tcW w:w="3013" w:type="dxa"/>
            <w:noWrap w:val="0"/>
            <w:vAlign w:val="center"/>
          </w:tcPr>
          <w:p>
            <w:pPr>
              <w:widowControl/>
              <w:jc w:val="left"/>
              <w:rPr>
                <w:szCs w:val="21"/>
              </w:rPr>
            </w:pPr>
            <w:r>
              <w:t>方案与措施基本满足施工要求</w:t>
            </w:r>
            <w:r>
              <w:rPr>
                <w:rFonts w:hint="eastAsia"/>
              </w:rPr>
              <w:t>。</w:t>
            </w: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41" w:hRule="atLeast"/>
          <w:jc w:val="center"/>
        </w:trPr>
        <w:tc>
          <w:tcPr>
            <w:tcW w:w="1011" w:type="dxa"/>
            <w:vMerge w:val="continue"/>
            <w:noWrap w:val="0"/>
            <w:vAlign w:val="center"/>
          </w:tcPr>
          <w:p>
            <w:pPr>
              <w:adjustRightInd w:val="0"/>
              <w:snapToGrid w:val="0"/>
              <w:jc w:val="center"/>
              <w:rPr>
                <w:szCs w:val="21"/>
              </w:rPr>
            </w:pPr>
          </w:p>
        </w:tc>
        <w:tc>
          <w:tcPr>
            <w:tcW w:w="979" w:type="dxa"/>
            <w:vMerge w:val="continue"/>
            <w:noWrap w:val="0"/>
            <w:textDirection w:val="tbRlV"/>
            <w:vAlign w:val="center"/>
          </w:tcPr>
          <w:p>
            <w:pPr>
              <w:adjustRightInd w:val="0"/>
              <w:snapToGrid w:val="0"/>
              <w:ind w:left="113" w:right="113"/>
              <w:jc w:val="center"/>
              <w:rPr>
                <w:rFonts w:ascii="宋体"/>
                <w:szCs w:val="21"/>
              </w:rPr>
            </w:pPr>
          </w:p>
        </w:tc>
        <w:tc>
          <w:tcPr>
            <w:tcW w:w="982" w:type="dxa"/>
            <w:gridSpan w:val="2"/>
            <w:vMerge w:val="continue"/>
            <w:noWrap w:val="0"/>
            <w:vAlign w:val="center"/>
          </w:tcPr>
          <w:p>
            <w:pPr>
              <w:adjustRightInd w:val="0"/>
              <w:snapToGrid w:val="0"/>
              <w:jc w:val="center"/>
              <w:rPr>
                <w:rFonts w:ascii="宋体"/>
                <w:szCs w:val="21"/>
                <w:u w:val="single"/>
              </w:rPr>
            </w:pPr>
          </w:p>
        </w:tc>
        <w:tc>
          <w:tcPr>
            <w:tcW w:w="1889" w:type="dxa"/>
            <w:vMerge w:val="restart"/>
            <w:noWrap w:val="0"/>
            <w:vAlign w:val="center"/>
          </w:tcPr>
          <w:p>
            <w:pPr>
              <w:rPr>
                <w:szCs w:val="21"/>
              </w:rPr>
            </w:pPr>
            <w:r>
              <w:rPr>
                <w:rFonts w:hint="eastAsia"/>
                <w:szCs w:val="21"/>
              </w:rPr>
              <w:t>环境保护、水土保持保证体系及保证措施。</w:t>
            </w:r>
          </w:p>
        </w:tc>
        <w:tc>
          <w:tcPr>
            <w:tcW w:w="565" w:type="dxa"/>
            <w:vMerge w:val="restart"/>
            <w:noWrap w:val="0"/>
            <w:vAlign w:val="center"/>
          </w:tcPr>
          <w:p>
            <w:pPr>
              <w:autoSpaceDE w:val="0"/>
              <w:autoSpaceDN w:val="0"/>
              <w:adjustRightInd w:val="0"/>
              <w:spacing w:line="400" w:lineRule="exact"/>
              <w:jc w:val="center"/>
              <w:rPr>
                <w:szCs w:val="21"/>
              </w:rPr>
            </w:pPr>
            <w:r>
              <w:rPr>
                <w:rFonts w:hint="eastAsia"/>
                <w:szCs w:val="21"/>
              </w:rPr>
              <w:t>5</w:t>
            </w:r>
          </w:p>
        </w:tc>
        <w:tc>
          <w:tcPr>
            <w:tcW w:w="1035" w:type="dxa"/>
            <w:noWrap w:val="0"/>
            <w:vAlign w:val="center"/>
          </w:tcPr>
          <w:p>
            <w:pPr>
              <w:autoSpaceDE w:val="0"/>
              <w:autoSpaceDN w:val="0"/>
              <w:adjustRightInd w:val="0"/>
              <w:spacing w:line="400" w:lineRule="exact"/>
              <w:jc w:val="center"/>
              <w:rPr>
                <w:szCs w:val="21"/>
              </w:rPr>
            </w:pPr>
            <w:r>
              <w:rPr>
                <w:rFonts w:hint="eastAsia"/>
                <w:szCs w:val="21"/>
              </w:rPr>
              <w:t>4</w:t>
            </w:r>
            <w:r>
              <w:rPr>
                <w:szCs w:val="21"/>
              </w:rPr>
              <w:t>～</w:t>
            </w:r>
            <w:r>
              <w:rPr>
                <w:rFonts w:hint="eastAsia"/>
                <w:szCs w:val="21"/>
              </w:rPr>
              <w:t>5</w:t>
            </w:r>
          </w:p>
        </w:tc>
        <w:tc>
          <w:tcPr>
            <w:tcW w:w="3013" w:type="dxa"/>
            <w:noWrap w:val="0"/>
            <w:vAlign w:val="center"/>
          </w:tcPr>
          <w:p>
            <w:pPr>
              <w:widowControl/>
              <w:jc w:val="left"/>
              <w:rPr>
                <w:szCs w:val="21"/>
              </w:rPr>
            </w:pPr>
            <w:r>
              <w:rPr>
                <w:rFonts w:hint="eastAsia"/>
                <w:szCs w:val="21"/>
              </w:rPr>
              <w:t>环境保护、水土保持</w:t>
            </w:r>
            <w:r>
              <w:rPr>
                <w:rFonts w:hint="eastAsia"/>
              </w:rPr>
              <w:t>保证</w:t>
            </w:r>
            <w:r>
              <w:t>体</w:t>
            </w:r>
            <w:r>
              <w:rPr>
                <w:rFonts w:hint="eastAsia"/>
              </w:rPr>
              <w:t>系</w:t>
            </w:r>
            <w:r>
              <w:t>和</w:t>
            </w:r>
            <w:r>
              <w:rPr>
                <w:rFonts w:hint="eastAsia"/>
              </w:rPr>
              <w:t>保证</w:t>
            </w:r>
            <w:r>
              <w:t>措施</w:t>
            </w:r>
            <w:r>
              <w:rPr>
                <w:rFonts w:hint="eastAsia"/>
              </w:rPr>
              <w:t>具有</w:t>
            </w:r>
            <w:r>
              <w:t>操作性</w:t>
            </w:r>
            <w:r>
              <w:rPr>
                <w:rFonts w:hint="eastAsia"/>
              </w:rPr>
              <w:t>、先</w:t>
            </w:r>
            <w:r>
              <w:t>进、合理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41" w:hRule="atLeast"/>
          <w:jc w:val="center"/>
        </w:trPr>
        <w:tc>
          <w:tcPr>
            <w:tcW w:w="1011" w:type="dxa"/>
            <w:vMerge w:val="continue"/>
            <w:noWrap w:val="0"/>
            <w:vAlign w:val="center"/>
          </w:tcPr>
          <w:p>
            <w:pPr>
              <w:adjustRightInd w:val="0"/>
              <w:snapToGrid w:val="0"/>
              <w:jc w:val="center"/>
              <w:rPr>
                <w:szCs w:val="21"/>
              </w:rPr>
            </w:pPr>
          </w:p>
        </w:tc>
        <w:tc>
          <w:tcPr>
            <w:tcW w:w="979" w:type="dxa"/>
            <w:vMerge w:val="continue"/>
            <w:noWrap w:val="0"/>
            <w:textDirection w:val="tbRlV"/>
            <w:vAlign w:val="center"/>
          </w:tcPr>
          <w:p>
            <w:pPr>
              <w:adjustRightInd w:val="0"/>
              <w:snapToGrid w:val="0"/>
              <w:ind w:left="113" w:right="113"/>
              <w:jc w:val="center"/>
              <w:rPr>
                <w:rFonts w:ascii="宋体"/>
                <w:szCs w:val="21"/>
              </w:rPr>
            </w:pPr>
          </w:p>
        </w:tc>
        <w:tc>
          <w:tcPr>
            <w:tcW w:w="982" w:type="dxa"/>
            <w:gridSpan w:val="2"/>
            <w:vMerge w:val="continue"/>
            <w:noWrap w:val="0"/>
            <w:vAlign w:val="center"/>
          </w:tcPr>
          <w:p>
            <w:pPr>
              <w:adjustRightInd w:val="0"/>
              <w:snapToGrid w:val="0"/>
              <w:jc w:val="center"/>
              <w:rPr>
                <w:rFonts w:ascii="宋体"/>
                <w:szCs w:val="21"/>
                <w:u w:val="single"/>
              </w:rPr>
            </w:pPr>
          </w:p>
        </w:tc>
        <w:tc>
          <w:tcPr>
            <w:tcW w:w="1889" w:type="dxa"/>
            <w:vMerge w:val="continue"/>
            <w:noWrap w:val="0"/>
            <w:vAlign w:val="center"/>
          </w:tcPr>
          <w:p>
            <w:pPr>
              <w:rPr>
                <w:szCs w:val="21"/>
              </w:rPr>
            </w:pPr>
          </w:p>
        </w:tc>
        <w:tc>
          <w:tcPr>
            <w:tcW w:w="565" w:type="dxa"/>
            <w:vMerge w:val="continue"/>
            <w:noWrap w:val="0"/>
            <w:vAlign w:val="center"/>
          </w:tcPr>
          <w:p>
            <w:pPr>
              <w:autoSpaceDE w:val="0"/>
              <w:autoSpaceDN w:val="0"/>
              <w:adjustRightInd w:val="0"/>
              <w:spacing w:line="400" w:lineRule="exact"/>
              <w:jc w:val="center"/>
              <w:rPr>
                <w:szCs w:val="21"/>
              </w:rPr>
            </w:pPr>
          </w:p>
        </w:tc>
        <w:tc>
          <w:tcPr>
            <w:tcW w:w="1035" w:type="dxa"/>
            <w:noWrap w:val="0"/>
            <w:vAlign w:val="center"/>
          </w:tcPr>
          <w:p>
            <w:pPr>
              <w:autoSpaceDE w:val="0"/>
              <w:autoSpaceDN w:val="0"/>
              <w:adjustRightInd w:val="0"/>
              <w:spacing w:line="400" w:lineRule="exact"/>
              <w:jc w:val="center"/>
              <w:rPr>
                <w:szCs w:val="21"/>
              </w:rPr>
            </w:pPr>
            <w:r>
              <w:rPr>
                <w:rFonts w:hint="eastAsia"/>
                <w:szCs w:val="21"/>
              </w:rPr>
              <w:t>3</w:t>
            </w:r>
            <w:r>
              <w:rPr>
                <w:szCs w:val="21"/>
              </w:rPr>
              <w:t>～</w:t>
            </w:r>
            <w:r>
              <w:rPr>
                <w:rFonts w:hint="eastAsia"/>
                <w:szCs w:val="21"/>
              </w:rPr>
              <w:t>4</w:t>
            </w:r>
          </w:p>
        </w:tc>
        <w:tc>
          <w:tcPr>
            <w:tcW w:w="3013" w:type="dxa"/>
            <w:noWrap w:val="0"/>
            <w:vAlign w:val="center"/>
          </w:tcPr>
          <w:p>
            <w:pPr>
              <w:widowControl/>
              <w:jc w:val="left"/>
              <w:rPr>
                <w:szCs w:val="21"/>
              </w:rPr>
            </w:pPr>
            <w:r>
              <w:t>方案与措施满足施工要求</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41" w:hRule="atLeast"/>
          <w:jc w:val="center"/>
        </w:trPr>
        <w:tc>
          <w:tcPr>
            <w:tcW w:w="1011" w:type="dxa"/>
            <w:vMerge w:val="continue"/>
            <w:noWrap w:val="0"/>
            <w:vAlign w:val="center"/>
          </w:tcPr>
          <w:p>
            <w:pPr>
              <w:adjustRightInd w:val="0"/>
              <w:snapToGrid w:val="0"/>
              <w:jc w:val="center"/>
              <w:rPr>
                <w:szCs w:val="21"/>
              </w:rPr>
            </w:pPr>
          </w:p>
        </w:tc>
        <w:tc>
          <w:tcPr>
            <w:tcW w:w="979" w:type="dxa"/>
            <w:vMerge w:val="continue"/>
            <w:noWrap w:val="0"/>
            <w:textDirection w:val="tbRlV"/>
            <w:vAlign w:val="center"/>
          </w:tcPr>
          <w:p>
            <w:pPr>
              <w:adjustRightInd w:val="0"/>
              <w:snapToGrid w:val="0"/>
              <w:ind w:left="113" w:right="113"/>
              <w:jc w:val="center"/>
              <w:rPr>
                <w:rFonts w:ascii="宋体"/>
                <w:szCs w:val="21"/>
              </w:rPr>
            </w:pPr>
          </w:p>
        </w:tc>
        <w:tc>
          <w:tcPr>
            <w:tcW w:w="982" w:type="dxa"/>
            <w:gridSpan w:val="2"/>
            <w:vMerge w:val="continue"/>
            <w:noWrap w:val="0"/>
            <w:vAlign w:val="center"/>
          </w:tcPr>
          <w:p>
            <w:pPr>
              <w:adjustRightInd w:val="0"/>
              <w:snapToGrid w:val="0"/>
              <w:jc w:val="center"/>
              <w:rPr>
                <w:rFonts w:ascii="宋体"/>
                <w:szCs w:val="21"/>
                <w:u w:val="single"/>
              </w:rPr>
            </w:pPr>
          </w:p>
        </w:tc>
        <w:tc>
          <w:tcPr>
            <w:tcW w:w="1889" w:type="dxa"/>
            <w:vMerge w:val="continue"/>
            <w:noWrap w:val="0"/>
            <w:vAlign w:val="center"/>
          </w:tcPr>
          <w:p>
            <w:pPr>
              <w:rPr>
                <w:szCs w:val="21"/>
              </w:rPr>
            </w:pPr>
          </w:p>
        </w:tc>
        <w:tc>
          <w:tcPr>
            <w:tcW w:w="565" w:type="dxa"/>
            <w:vMerge w:val="continue"/>
            <w:noWrap w:val="0"/>
            <w:vAlign w:val="center"/>
          </w:tcPr>
          <w:p>
            <w:pPr>
              <w:autoSpaceDE w:val="0"/>
              <w:autoSpaceDN w:val="0"/>
              <w:adjustRightInd w:val="0"/>
              <w:spacing w:line="400" w:lineRule="exact"/>
              <w:jc w:val="center"/>
              <w:rPr>
                <w:szCs w:val="21"/>
              </w:rPr>
            </w:pPr>
          </w:p>
        </w:tc>
        <w:tc>
          <w:tcPr>
            <w:tcW w:w="1035" w:type="dxa"/>
            <w:noWrap w:val="0"/>
            <w:vAlign w:val="center"/>
          </w:tcPr>
          <w:p>
            <w:pPr>
              <w:autoSpaceDE w:val="0"/>
              <w:autoSpaceDN w:val="0"/>
              <w:adjustRightInd w:val="0"/>
              <w:spacing w:line="400" w:lineRule="exact"/>
              <w:jc w:val="center"/>
              <w:rPr>
                <w:szCs w:val="21"/>
              </w:rPr>
            </w:pPr>
            <w:r>
              <w:rPr>
                <w:rFonts w:hint="eastAsia"/>
                <w:szCs w:val="21"/>
              </w:rPr>
              <w:t>3</w:t>
            </w:r>
          </w:p>
        </w:tc>
        <w:tc>
          <w:tcPr>
            <w:tcW w:w="3013" w:type="dxa"/>
            <w:noWrap w:val="0"/>
            <w:vAlign w:val="center"/>
          </w:tcPr>
          <w:p>
            <w:pPr>
              <w:widowControl/>
              <w:jc w:val="left"/>
              <w:rPr>
                <w:szCs w:val="21"/>
              </w:rPr>
            </w:pPr>
            <w:r>
              <w:t>方案与措施基本满足施工要求</w:t>
            </w:r>
            <w:r>
              <w:rPr>
                <w:rFonts w:hint="eastAsia"/>
              </w:rPr>
              <w:t>。</w:t>
            </w: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41" w:hRule="atLeast"/>
          <w:jc w:val="center"/>
        </w:trPr>
        <w:tc>
          <w:tcPr>
            <w:tcW w:w="1011" w:type="dxa"/>
            <w:vMerge w:val="continue"/>
            <w:noWrap w:val="0"/>
            <w:vAlign w:val="center"/>
          </w:tcPr>
          <w:p>
            <w:pPr>
              <w:adjustRightInd w:val="0"/>
              <w:snapToGrid w:val="0"/>
              <w:jc w:val="center"/>
              <w:rPr>
                <w:szCs w:val="21"/>
              </w:rPr>
            </w:pPr>
          </w:p>
        </w:tc>
        <w:tc>
          <w:tcPr>
            <w:tcW w:w="979" w:type="dxa"/>
            <w:vMerge w:val="continue"/>
            <w:noWrap w:val="0"/>
            <w:textDirection w:val="tbRlV"/>
            <w:vAlign w:val="center"/>
          </w:tcPr>
          <w:p>
            <w:pPr>
              <w:adjustRightInd w:val="0"/>
              <w:snapToGrid w:val="0"/>
              <w:ind w:left="113" w:right="113"/>
              <w:jc w:val="center"/>
              <w:rPr>
                <w:rFonts w:ascii="宋体"/>
                <w:szCs w:val="21"/>
              </w:rPr>
            </w:pPr>
          </w:p>
        </w:tc>
        <w:tc>
          <w:tcPr>
            <w:tcW w:w="982" w:type="dxa"/>
            <w:gridSpan w:val="2"/>
            <w:vMerge w:val="continue"/>
            <w:noWrap w:val="0"/>
            <w:vAlign w:val="center"/>
          </w:tcPr>
          <w:p>
            <w:pPr>
              <w:adjustRightInd w:val="0"/>
              <w:snapToGrid w:val="0"/>
              <w:jc w:val="center"/>
              <w:rPr>
                <w:rFonts w:ascii="宋体"/>
                <w:szCs w:val="21"/>
                <w:u w:val="single"/>
              </w:rPr>
            </w:pPr>
          </w:p>
        </w:tc>
        <w:tc>
          <w:tcPr>
            <w:tcW w:w="1889" w:type="dxa"/>
            <w:vMerge w:val="restart"/>
            <w:noWrap w:val="0"/>
            <w:vAlign w:val="center"/>
          </w:tcPr>
          <w:p>
            <w:pPr>
              <w:rPr>
                <w:szCs w:val="21"/>
              </w:rPr>
            </w:pPr>
            <w:r>
              <w:rPr>
                <w:rFonts w:hint="eastAsia"/>
                <w:szCs w:val="21"/>
              </w:rPr>
              <w:t>文明施工、文物保护保证体系及保证措施。</w:t>
            </w:r>
          </w:p>
        </w:tc>
        <w:tc>
          <w:tcPr>
            <w:tcW w:w="565" w:type="dxa"/>
            <w:vMerge w:val="restart"/>
            <w:noWrap w:val="0"/>
            <w:vAlign w:val="center"/>
          </w:tcPr>
          <w:p>
            <w:pPr>
              <w:autoSpaceDE w:val="0"/>
              <w:autoSpaceDN w:val="0"/>
              <w:adjustRightInd w:val="0"/>
              <w:spacing w:line="400" w:lineRule="exact"/>
              <w:jc w:val="center"/>
              <w:rPr>
                <w:szCs w:val="21"/>
              </w:rPr>
            </w:pPr>
            <w:r>
              <w:rPr>
                <w:rFonts w:hint="eastAsia"/>
                <w:szCs w:val="21"/>
              </w:rPr>
              <w:t>5</w:t>
            </w:r>
          </w:p>
        </w:tc>
        <w:tc>
          <w:tcPr>
            <w:tcW w:w="1035" w:type="dxa"/>
            <w:noWrap w:val="0"/>
            <w:vAlign w:val="center"/>
          </w:tcPr>
          <w:p>
            <w:pPr>
              <w:autoSpaceDE w:val="0"/>
              <w:autoSpaceDN w:val="0"/>
              <w:adjustRightInd w:val="0"/>
              <w:spacing w:line="400" w:lineRule="exact"/>
              <w:jc w:val="center"/>
              <w:rPr>
                <w:szCs w:val="21"/>
              </w:rPr>
            </w:pPr>
            <w:r>
              <w:rPr>
                <w:rFonts w:hint="eastAsia"/>
                <w:szCs w:val="21"/>
              </w:rPr>
              <w:t>4</w:t>
            </w:r>
            <w:r>
              <w:rPr>
                <w:szCs w:val="21"/>
              </w:rPr>
              <w:t>～</w:t>
            </w:r>
            <w:r>
              <w:rPr>
                <w:rFonts w:hint="eastAsia"/>
                <w:szCs w:val="21"/>
              </w:rPr>
              <w:t>5</w:t>
            </w:r>
          </w:p>
        </w:tc>
        <w:tc>
          <w:tcPr>
            <w:tcW w:w="3013" w:type="dxa"/>
            <w:noWrap w:val="0"/>
            <w:vAlign w:val="center"/>
          </w:tcPr>
          <w:p>
            <w:pPr>
              <w:widowControl/>
              <w:jc w:val="left"/>
              <w:rPr>
                <w:szCs w:val="21"/>
              </w:rPr>
            </w:pPr>
            <w:r>
              <w:rPr>
                <w:rFonts w:hint="eastAsia"/>
                <w:szCs w:val="21"/>
              </w:rPr>
              <w:t>文明施工、文物保护</w:t>
            </w:r>
            <w:r>
              <w:rPr>
                <w:rFonts w:hint="eastAsia"/>
              </w:rPr>
              <w:t>保证</w:t>
            </w:r>
            <w:r>
              <w:t>体</w:t>
            </w:r>
            <w:r>
              <w:rPr>
                <w:rFonts w:hint="eastAsia"/>
              </w:rPr>
              <w:t>系</w:t>
            </w:r>
            <w:r>
              <w:t>和</w:t>
            </w:r>
            <w:r>
              <w:rPr>
                <w:rFonts w:hint="eastAsia"/>
              </w:rPr>
              <w:t>保证</w:t>
            </w:r>
            <w:r>
              <w:t>措施</w:t>
            </w:r>
            <w:r>
              <w:rPr>
                <w:rFonts w:hint="eastAsia"/>
              </w:rPr>
              <w:t>具有</w:t>
            </w:r>
            <w:r>
              <w:t>操作性</w:t>
            </w:r>
            <w:r>
              <w:rPr>
                <w:rFonts w:hint="eastAsia"/>
              </w:rPr>
              <w:t>、先</w:t>
            </w:r>
            <w:r>
              <w:t>进、合理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41" w:hRule="atLeast"/>
          <w:jc w:val="center"/>
        </w:trPr>
        <w:tc>
          <w:tcPr>
            <w:tcW w:w="1011" w:type="dxa"/>
            <w:vMerge w:val="continue"/>
            <w:noWrap w:val="0"/>
            <w:vAlign w:val="center"/>
          </w:tcPr>
          <w:p>
            <w:pPr>
              <w:adjustRightInd w:val="0"/>
              <w:snapToGrid w:val="0"/>
              <w:jc w:val="center"/>
              <w:rPr>
                <w:szCs w:val="21"/>
              </w:rPr>
            </w:pPr>
          </w:p>
        </w:tc>
        <w:tc>
          <w:tcPr>
            <w:tcW w:w="979" w:type="dxa"/>
            <w:vMerge w:val="continue"/>
            <w:noWrap w:val="0"/>
            <w:textDirection w:val="tbRlV"/>
            <w:vAlign w:val="center"/>
          </w:tcPr>
          <w:p>
            <w:pPr>
              <w:adjustRightInd w:val="0"/>
              <w:snapToGrid w:val="0"/>
              <w:ind w:left="113" w:right="113"/>
              <w:jc w:val="center"/>
              <w:rPr>
                <w:rFonts w:ascii="宋体"/>
                <w:szCs w:val="21"/>
              </w:rPr>
            </w:pPr>
          </w:p>
        </w:tc>
        <w:tc>
          <w:tcPr>
            <w:tcW w:w="982" w:type="dxa"/>
            <w:gridSpan w:val="2"/>
            <w:vMerge w:val="continue"/>
            <w:noWrap w:val="0"/>
            <w:vAlign w:val="center"/>
          </w:tcPr>
          <w:p>
            <w:pPr>
              <w:adjustRightInd w:val="0"/>
              <w:snapToGrid w:val="0"/>
              <w:jc w:val="center"/>
              <w:rPr>
                <w:rFonts w:ascii="宋体"/>
                <w:szCs w:val="21"/>
                <w:u w:val="single"/>
              </w:rPr>
            </w:pPr>
          </w:p>
        </w:tc>
        <w:tc>
          <w:tcPr>
            <w:tcW w:w="1889" w:type="dxa"/>
            <w:vMerge w:val="continue"/>
            <w:noWrap w:val="0"/>
            <w:vAlign w:val="center"/>
          </w:tcPr>
          <w:p>
            <w:pPr>
              <w:adjustRightInd w:val="0"/>
              <w:snapToGrid w:val="0"/>
              <w:rPr>
                <w:szCs w:val="21"/>
              </w:rPr>
            </w:pPr>
          </w:p>
        </w:tc>
        <w:tc>
          <w:tcPr>
            <w:tcW w:w="565" w:type="dxa"/>
            <w:vMerge w:val="continue"/>
            <w:noWrap w:val="0"/>
            <w:vAlign w:val="center"/>
          </w:tcPr>
          <w:p>
            <w:pPr>
              <w:adjustRightInd w:val="0"/>
              <w:snapToGrid w:val="0"/>
              <w:jc w:val="center"/>
              <w:rPr>
                <w:szCs w:val="21"/>
              </w:rPr>
            </w:pPr>
          </w:p>
        </w:tc>
        <w:tc>
          <w:tcPr>
            <w:tcW w:w="1035" w:type="dxa"/>
            <w:noWrap w:val="0"/>
            <w:vAlign w:val="center"/>
          </w:tcPr>
          <w:p>
            <w:pPr>
              <w:autoSpaceDE w:val="0"/>
              <w:autoSpaceDN w:val="0"/>
              <w:adjustRightInd w:val="0"/>
              <w:spacing w:line="400" w:lineRule="exact"/>
              <w:jc w:val="center"/>
              <w:rPr>
                <w:szCs w:val="21"/>
              </w:rPr>
            </w:pPr>
            <w:r>
              <w:rPr>
                <w:rFonts w:hint="eastAsia"/>
                <w:szCs w:val="21"/>
              </w:rPr>
              <w:t>3</w:t>
            </w:r>
            <w:r>
              <w:rPr>
                <w:szCs w:val="21"/>
              </w:rPr>
              <w:t>～</w:t>
            </w:r>
            <w:r>
              <w:rPr>
                <w:rFonts w:hint="eastAsia"/>
                <w:szCs w:val="21"/>
              </w:rPr>
              <w:t>4</w:t>
            </w:r>
          </w:p>
        </w:tc>
        <w:tc>
          <w:tcPr>
            <w:tcW w:w="3013" w:type="dxa"/>
            <w:noWrap w:val="0"/>
            <w:vAlign w:val="center"/>
          </w:tcPr>
          <w:p>
            <w:pPr>
              <w:widowControl/>
              <w:jc w:val="left"/>
              <w:rPr>
                <w:szCs w:val="21"/>
              </w:rPr>
            </w:pPr>
            <w:r>
              <w:t>方案与措施满足施工要求</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41" w:hRule="atLeast"/>
          <w:jc w:val="center"/>
        </w:trPr>
        <w:tc>
          <w:tcPr>
            <w:tcW w:w="1011" w:type="dxa"/>
            <w:vMerge w:val="continue"/>
            <w:noWrap w:val="0"/>
            <w:vAlign w:val="center"/>
          </w:tcPr>
          <w:p>
            <w:pPr>
              <w:adjustRightInd w:val="0"/>
              <w:snapToGrid w:val="0"/>
              <w:jc w:val="center"/>
              <w:rPr>
                <w:szCs w:val="21"/>
              </w:rPr>
            </w:pPr>
          </w:p>
        </w:tc>
        <w:tc>
          <w:tcPr>
            <w:tcW w:w="979" w:type="dxa"/>
            <w:vMerge w:val="continue"/>
            <w:noWrap w:val="0"/>
            <w:textDirection w:val="tbRlV"/>
            <w:vAlign w:val="center"/>
          </w:tcPr>
          <w:p>
            <w:pPr>
              <w:adjustRightInd w:val="0"/>
              <w:snapToGrid w:val="0"/>
              <w:ind w:left="113" w:right="113"/>
              <w:jc w:val="center"/>
              <w:rPr>
                <w:rFonts w:ascii="宋体"/>
                <w:szCs w:val="21"/>
              </w:rPr>
            </w:pPr>
          </w:p>
        </w:tc>
        <w:tc>
          <w:tcPr>
            <w:tcW w:w="982" w:type="dxa"/>
            <w:gridSpan w:val="2"/>
            <w:vMerge w:val="continue"/>
            <w:noWrap w:val="0"/>
            <w:vAlign w:val="center"/>
          </w:tcPr>
          <w:p>
            <w:pPr>
              <w:adjustRightInd w:val="0"/>
              <w:snapToGrid w:val="0"/>
              <w:jc w:val="center"/>
              <w:rPr>
                <w:rFonts w:ascii="宋体"/>
                <w:szCs w:val="21"/>
                <w:u w:val="single"/>
              </w:rPr>
            </w:pPr>
          </w:p>
        </w:tc>
        <w:tc>
          <w:tcPr>
            <w:tcW w:w="1889" w:type="dxa"/>
            <w:vMerge w:val="continue"/>
            <w:noWrap w:val="0"/>
            <w:vAlign w:val="center"/>
          </w:tcPr>
          <w:p>
            <w:pPr>
              <w:adjustRightInd w:val="0"/>
              <w:snapToGrid w:val="0"/>
              <w:rPr>
                <w:szCs w:val="21"/>
              </w:rPr>
            </w:pPr>
          </w:p>
        </w:tc>
        <w:tc>
          <w:tcPr>
            <w:tcW w:w="565" w:type="dxa"/>
            <w:vMerge w:val="continue"/>
            <w:noWrap w:val="0"/>
            <w:vAlign w:val="center"/>
          </w:tcPr>
          <w:p>
            <w:pPr>
              <w:adjustRightInd w:val="0"/>
              <w:snapToGrid w:val="0"/>
              <w:jc w:val="center"/>
              <w:rPr>
                <w:szCs w:val="21"/>
              </w:rPr>
            </w:pPr>
          </w:p>
        </w:tc>
        <w:tc>
          <w:tcPr>
            <w:tcW w:w="1035" w:type="dxa"/>
            <w:noWrap w:val="0"/>
            <w:vAlign w:val="center"/>
          </w:tcPr>
          <w:p>
            <w:pPr>
              <w:autoSpaceDE w:val="0"/>
              <w:autoSpaceDN w:val="0"/>
              <w:adjustRightInd w:val="0"/>
              <w:spacing w:line="400" w:lineRule="exact"/>
              <w:jc w:val="center"/>
              <w:rPr>
                <w:szCs w:val="21"/>
              </w:rPr>
            </w:pPr>
            <w:r>
              <w:rPr>
                <w:rFonts w:hint="eastAsia"/>
                <w:szCs w:val="21"/>
              </w:rPr>
              <w:t>3</w:t>
            </w:r>
          </w:p>
        </w:tc>
        <w:tc>
          <w:tcPr>
            <w:tcW w:w="3013" w:type="dxa"/>
            <w:noWrap w:val="0"/>
            <w:vAlign w:val="center"/>
          </w:tcPr>
          <w:p>
            <w:pPr>
              <w:widowControl/>
              <w:jc w:val="left"/>
              <w:rPr>
                <w:szCs w:val="21"/>
              </w:rPr>
            </w:pPr>
            <w:r>
              <w:t>方案与措施基本满足施工要求</w:t>
            </w:r>
            <w:r>
              <w:rPr>
                <w:rFonts w:hint="eastAsia"/>
              </w:rPr>
              <w:t>。</w:t>
            </w: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41" w:hRule="atLeast"/>
          <w:jc w:val="center"/>
        </w:trPr>
        <w:tc>
          <w:tcPr>
            <w:tcW w:w="1011" w:type="dxa"/>
            <w:vMerge w:val="continue"/>
            <w:noWrap w:val="0"/>
            <w:vAlign w:val="center"/>
          </w:tcPr>
          <w:p>
            <w:pPr>
              <w:adjustRightInd w:val="0"/>
              <w:snapToGrid w:val="0"/>
              <w:jc w:val="center"/>
              <w:rPr>
                <w:szCs w:val="21"/>
              </w:rPr>
            </w:pPr>
          </w:p>
        </w:tc>
        <w:tc>
          <w:tcPr>
            <w:tcW w:w="979" w:type="dxa"/>
            <w:vMerge w:val="continue"/>
            <w:noWrap w:val="0"/>
            <w:textDirection w:val="tbRlV"/>
            <w:vAlign w:val="center"/>
          </w:tcPr>
          <w:p>
            <w:pPr>
              <w:adjustRightInd w:val="0"/>
              <w:snapToGrid w:val="0"/>
              <w:ind w:left="113" w:right="113"/>
              <w:jc w:val="center"/>
              <w:rPr>
                <w:rFonts w:ascii="宋体"/>
                <w:szCs w:val="21"/>
              </w:rPr>
            </w:pPr>
          </w:p>
        </w:tc>
        <w:tc>
          <w:tcPr>
            <w:tcW w:w="982" w:type="dxa"/>
            <w:gridSpan w:val="2"/>
            <w:vMerge w:val="continue"/>
            <w:noWrap w:val="0"/>
            <w:vAlign w:val="center"/>
          </w:tcPr>
          <w:p>
            <w:pPr>
              <w:adjustRightInd w:val="0"/>
              <w:snapToGrid w:val="0"/>
              <w:jc w:val="center"/>
              <w:rPr>
                <w:rFonts w:ascii="宋体"/>
                <w:szCs w:val="21"/>
                <w:u w:val="single"/>
              </w:rPr>
            </w:pPr>
          </w:p>
        </w:tc>
        <w:tc>
          <w:tcPr>
            <w:tcW w:w="1889" w:type="dxa"/>
            <w:vMerge w:val="restart"/>
            <w:noWrap w:val="0"/>
            <w:vAlign w:val="center"/>
          </w:tcPr>
          <w:p>
            <w:pPr>
              <w:rPr>
                <w:szCs w:val="21"/>
              </w:rPr>
            </w:pPr>
            <w:r>
              <w:rPr>
                <w:rFonts w:hint="eastAsia"/>
                <w:szCs w:val="21"/>
              </w:rPr>
              <w:t>项目风险预测与防范，事故应急预案。</w:t>
            </w:r>
          </w:p>
        </w:tc>
        <w:tc>
          <w:tcPr>
            <w:tcW w:w="565" w:type="dxa"/>
            <w:vMerge w:val="restart"/>
            <w:noWrap w:val="0"/>
            <w:vAlign w:val="center"/>
          </w:tcPr>
          <w:p>
            <w:pPr>
              <w:autoSpaceDE w:val="0"/>
              <w:autoSpaceDN w:val="0"/>
              <w:adjustRightInd w:val="0"/>
              <w:spacing w:line="400" w:lineRule="exact"/>
              <w:jc w:val="center"/>
              <w:rPr>
                <w:szCs w:val="21"/>
              </w:rPr>
            </w:pPr>
            <w:r>
              <w:rPr>
                <w:rFonts w:hint="eastAsia"/>
                <w:szCs w:val="21"/>
              </w:rPr>
              <w:t>5</w:t>
            </w:r>
          </w:p>
        </w:tc>
        <w:tc>
          <w:tcPr>
            <w:tcW w:w="1035" w:type="dxa"/>
            <w:noWrap w:val="0"/>
            <w:vAlign w:val="center"/>
          </w:tcPr>
          <w:p>
            <w:pPr>
              <w:autoSpaceDE w:val="0"/>
              <w:autoSpaceDN w:val="0"/>
              <w:adjustRightInd w:val="0"/>
              <w:spacing w:line="400" w:lineRule="exact"/>
              <w:jc w:val="center"/>
              <w:rPr>
                <w:szCs w:val="21"/>
              </w:rPr>
            </w:pPr>
            <w:r>
              <w:rPr>
                <w:rFonts w:hint="eastAsia"/>
                <w:szCs w:val="21"/>
              </w:rPr>
              <w:t>4</w:t>
            </w:r>
            <w:r>
              <w:rPr>
                <w:szCs w:val="21"/>
              </w:rPr>
              <w:t>～</w:t>
            </w:r>
            <w:r>
              <w:rPr>
                <w:rFonts w:hint="eastAsia"/>
                <w:szCs w:val="21"/>
              </w:rPr>
              <w:t>5</w:t>
            </w:r>
          </w:p>
        </w:tc>
        <w:tc>
          <w:tcPr>
            <w:tcW w:w="3013" w:type="dxa"/>
            <w:noWrap w:val="0"/>
            <w:vAlign w:val="center"/>
          </w:tcPr>
          <w:p>
            <w:pPr>
              <w:widowControl/>
              <w:jc w:val="left"/>
              <w:rPr>
                <w:szCs w:val="21"/>
              </w:rPr>
            </w:pPr>
            <w:r>
              <w:rPr>
                <w:rFonts w:hint="eastAsia"/>
              </w:rPr>
              <w:t>项目风险预测与防范具体，预案具有</w:t>
            </w:r>
            <w:r>
              <w:t>操作性</w:t>
            </w:r>
            <w:r>
              <w:rPr>
                <w:rFonts w:hint="eastAsia"/>
              </w:rPr>
              <w:t>、先</w:t>
            </w:r>
            <w:r>
              <w:t>进、合理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41" w:hRule="atLeast"/>
          <w:jc w:val="center"/>
        </w:trPr>
        <w:tc>
          <w:tcPr>
            <w:tcW w:w="1011" w:type="dxa"/>
            <w:vMerge w:val="continue"/>
            <w:noWrap w:val="0"/>
            <w:vAlign w:val="center"/>
          </w:tcPr>
          <w:p>
            <w:pPr>
              <w:adjustRightInd w:val="0"/>
              <w:snapToGrid w:val="0"/>
              <w:jc w:val="center"/>
              <w:rPr>
                <w:szCs w:val="21"/>
              </w:rPr>
            </w:pPr>
          </w:p>
        </w:tc>
        <w:tc>
          <w:tcPr>
            <w:tcW w:w="979" w:type="dxa"/>
            <w:vMerge w:val="continue"/>
            <w:noWrap w:val="0"/>
            <w:textDirection w:val="tbRlV"/>
            <w:vAlign w:val="center"/>
          </w:tcPr>
          <w:p>
            <w:pPr>
              <w:adjustRightInd w:val="0"/>
              <w:snapToGrid w:val="0"/>
              <w:ind w:left="113" w:right="113"/>
              <w:jc w:val="center"/>
              <w:rPr>
                <w:rFonts w:ascii="宋体"/>
                <w:szCs w:val="21"/>
              </w:rPr>
            </w:pPr>
          </w:p>
        </w:tc>
        <w:tc>
          <w:tcPr>
            <w:tcW w:w="982" w:type="dxa"/>
            <w:gridSpan w:val="2"/>
            <w:vMerge w:val="continue"/>
            <w:noWrap w:val="0"/>
            <w:vAlign w:val="center"/>
          </w:tcPr>
          <w:p>
            <w:pPr>
              <w:adjustRightInd w:val="0"/>
              <w:snapToGrid w:val="0"/>
              <w:jc w:val="center"/>
              <w:rPr>
                <w:rFonts w:ascii="宋体"/>
                <w:szCs w:val="21"/>
                <w:u w:val="single"/>
              </w:rPr>
            </w:pPr>
          </w:p>
        </w:tc>
        <w:tc>
          <w:tcPr>
            <w:tcW w:w="1889" w:type="dxa"/>
            <w:vMerge w:val="continue"/>
            <w:noWrap w:val="0"/>
            <w:vAlign w:val="center"/>
          </w:tcPr>
          <w:p>
            <w:pPr>
              <w:adjustRightInd w:val="0"/>
              <w:snapToGrid w:val="0"/>
              <w:rPr>
                <w:szCs w:val="21"/>
              </w:rPr>
            </w:pPr>
          </w:p>
        </w:tc>
        <w:tc>
          <w:tcPr>
            <w:tcW w:w="565" w:type="dxa"/>
            <w:vMerge w:val="continue"/>
            <w:noWrap w:val="0"/>
            <w:vAlign w:val="center"/>
          </w:tcPr>
          <w:p>
            <w:pPr>
              <w:adjustRightInd w:val="0"/>
              <w:snapToGrid w:val="0"/>
              <w:jc w:val="center"/>
              <w:rPr>
                <w:szCs w:val="21"/>
              </w:rPr>
            </w:pPr>
          </w:p>
        </w:tc>
        <w:tc>
          <w:tcPr>
            <w:tcW w:w="1035" w:type="dxa"/>
            <w:noWrap w:val="0"/>
            <w:vAlign w:val="center"/>
          </w:tcPr>
          <w:p>
            <w:pPr>
              <w:autoSpaceDE w:val="0"/>
              <w:autoSpaceDN w:val="0"/>
              <w:adjustRightInd w:val="0"/>
              <w:spacing w:line="400" w:lineRule="exact"/>
              <w:jc w:val="center"/>
              <w:rPr>
                <w:szCs w:val="21"/>
              </w:rPr>
            </w:pPr>
            <w:r>
              <w:rPr>
                <w:rFonts w:hint="eastAsia"/>
                <w:szCs w:val="21"/>
              </w:rPr>
              <w:t>3</w:t>
            </w:r>
            <w:r>
              <w:rPr>
                <w:szCs w:val="21"/>
              </w:rPr>
              <w:t>～</w:t>
            </w:r>
            <w:r>
              <w:rPr>
                <w:rFonts w:hint="eastAsia"/>
                <w:szCs w:val="21"/>
              </w:rPr>
              <w:t>4</w:t>
            </w:r>
          </w:p>
        </w:tc>
        <w:tc>
          <w:tcPr>
            <w:tcW w:w="3013" w:type="dxa"/>
            <w:noWrap w:val="0"/>
            <w:vAlign w:val="center"/>
          </w:tcPr>
          <w:p>
            <w:pPr>
              <w:widowControl/>
              <w:jc w:val="left"/>
              <w:rPr>
                <w:szCs w:val="21"/>
              </w:rPr>
            </w:pPr>
            <w:r>
              <w:rPr>
                <w:rFonts w:hint="eastAsia"/>
              </w:rPr>
              <w:t>事故</w:t>
            </w:r>
            <w:r>
              <w:t>应急预案满足施工要求</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41" w:hRule="atLeast"/>
          <w:jc w:val="center"/>
        </w:trPr>
        <w:tc>
          <w:tcPr>
            <w:tcW w:w="1011" w:type="dxa"/>
            <w:vMerge w:val="continue"/>
            <w:noWrap w:val="0"/>
            <w:vAlign w:val="center"/>
          </w:tcPr>
          <w:p>
            <w:pPr>
              <w:adjustRightInd w:val="0"/>
              <w:snapToGrid w:val="0"/>
              <w:jc w:val="center"/>
              <w:rPr>
                <w:szCs w:val="21"/>
              </w:rPr>
            </w:pPr>
          </w:p>
        </w:tc>
        <w:tc>
          <w:tcPr>
            <w:tcW w:w="979" w:type="dxa"/>
            <w:vMerge w:val="continue"/>
            <w:noWrap w:val="0"/>
            <w:textDirection w:val="tbRlV"/>
            <w:vAlign w:val="center"/>
          </w:tcPr>
          <w:p>
            <w:pPr>
              <w:adjustRightInd w:val="0"/>
              <w:snapToGrid w:val="0"/>
              <w:ind w:left="113" w:right="113"/>
              <w:jc w:val="center"/>
              <w:rPr>
                <w:rFonts w:ascii="宋体"/>
                <w:szCs w:val="21"/>
              </w:rPr>
            </w:pPr>
          </w:p>
        </w:tc>
        <w:tc>
          <w:tcPr>
            <w:tcW w:w="982" w:type="dxa"/>
            <w:gridSpan w:val="2"/>
            <w:vMerge w:val="continue"/>
            <w:noWrap w:val="0"/>
            <w:vAlign w:val="center"/>
          </w:tcPr>
          <w:p>
            <w:pPr>
              <w:adjustRightInd w:val="0"/>
              <w:snapToGrid w:val="0"/>
              <w:jc w:val="center"/>
              <w:rPr>
                <w:rFonts w:ascii="宋体"/>
                <w:szCs w:val="21"/>
                <w:u w:val="single"/>
              </w:rPr>
            </w:pPr>
          </w:p>
        </w:tc>
        <w:tc>
          <w:tcPr>
            <w:tcW w:w="1889" w:type="dxa"/>
            <w:vMerge w:val="continue"/>
            <w:noWrap w:val="0"/>
            <w:vAlign w:val="center"/>
          </w:tcPr>
          <w:p>
            <w:pPr>
              <w:adjustRightInd w:val="0"/>
              <w:snapToGrid w:val="0"/>
              <w:rPr>
                <w:szCs w:val="21"/>
              </w:rPr>
            </w:pPr>
          </w:p>
        </w:tc>
        <w:tc>
          <w:tcPr>
            <w:tcW w:w="565" w:type="dxa"/>
            <w:vMerge w:val="continue"/>
            <w:noWrap w:val="0"/>
            <w:vAlign w:val="center"/>
          </w:tcPr>
          <w:p>
            <w:pPr>
              <w:adjustRightInd w:val="0"/>
              <w:snapToGrid w:val="0"/>
              <w:jc w:val="center"/>
              <w:rPr>
                <w:szCs w:val="21"/>
              </w:rPr>
            </w:pPr>
          </w:p>
        </w:tc>
        <w:tc>
          <w:tcPr>
            <w:tcW w:w="1035" w:type="dxa"/>
            <w:noWrap w:val="0"/>
            <w:vAlign w:val="center"/>
          </w:tcPr>
          <w:p>
            <w:pPr>
              <w:autoSpaceDE w:val="0"/>
              <w:autoSpaceDN w:val="0"/>
              <w:adjustRightInd w:val="0"/>
              <w:spacing w:line="400" w:lineRule="exact"/>
              <w:jc w:val="center"/>
              <w:rPr>
                <w:szCs w:val="21"/>
              </w:rPr>
            </w:pPr>
            <w:r>
              <w:rPr>
                <w:rFonts w:hint="eastAsia"/>
                <w:szCs w:val="21"/>
              </w:rPr>
              <w:t>3</w:t>
            </w:r>
          </w:p>
        </w:tc>
        <w:tc>
          <w:tcPr>
            <w:tcW w:w="3013" w:type="dxa"/>
            <w:noWrap w:val="0"/>
            <w:vAlign w:val="center"/>
          </w:tcPr>
          <w:p>
            <w:pPr>
              <w:widowControl/>
              <w:jc w:val="left"/>
              <w:rPr>
                <w:szCs w:val="21"/>
              </w:rPr>
            </w:pPr>
            <w:r>
              <w:rPr>
                <w:rFonts w:hint="eastAsia"/>
              </w:rPr>
              <w:t>事故</w:t>
            </w:r>
            <w:r>
              <w:t>应急预案基本满足施工要求</w:t>
            </w:r>
            <w:r>
              <w:rPr>
                <w:rFonts w:hint="eastAsia"/>
              </w:rPr>
              <w:t>。</w:t>
            </w: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528" w:hRule="atLeast"/>
          <w:jc w:val="center"/>
        </w:trPr>
        <w:tc>
          <w:tcPr>
            <w:tcW w:w="1011" w:type="dxa"/>
            <w:vMerge w:val="restart"/>
            <w:noWrap w:val="0"/>
            <w:vAlign w:val="center"/>
          </w:tcPr>
          <w:p>
            <w:pPr>
              <w:adjustRightInd w:val="0"/>
              <w:snapToGrid w:val="0"/>
              <w:spacing w:line="340" w:lineRule="exact"/>
              <w:jc w:val="center"/>
              <w:rPr>
                <w:szCs w:val="21"/>
              </w:rPr>
            </w:pPr>
            <w:r>
              <w:rPr>
                <w:szCs w:val="21"/>
              </w:rPr>
              <w:t>2.2.4（2）</w:t>
            </w:r>
          </w:p>
        </w:tc>
        <w:tc>
          <w:tcPr>
            <w:tcW w:w="998" w:type="dxa"/>
            <w:gridSpan w:val="2"/>
            <w:vMerge w:val="restart"/>
            <w:noWrap w:val="0"/>
            <w:vAlign w:val="center"/>
          </w:tcPr>
          <w:p>
            <w:pPr>
              <w:adjustRightInd w:val="0"/>
              <w:snapToGrid w:val="0"/>
              <w:spacing w:line="340" w:lineRule="exact"/>
              <w:jc w:val="center"/>
              <w:rPr>
                <w:szCs w:val="21"/>
              </w:rPr>
            </w:pPr>
            <w:r>
              <w:rPr>
                <w:rFonts w:hint="eastAsia"/>
                <w:szCs w:val="21"/>
              </w:rPr>
              <w:t>主要</w:t>
            </w:r>
            <w:r>
              <w:rPr>
                <w:szCs w:val="21"/>
              </w:rPr>
              <w:t>人员</w:t>
            </w:r>
          </w:p>
        </w:tc>
        <w:tc>
          <w:tcPr>
            <w:tcW w:w="963" w:type="dxa"/>
            <w:vMerge w:val="restart"/>
            <w:noWrap w:val="0"/>
            <w:vAlign w:val="center"/>
          </w:tcPr>
          <w:p>
            <w:pPr>
              <w:adjustRightInd w:val="0"/>
              <w:snapToGrid w:val="0"/>
              <w:spacing w:line="340" w:lineRule="exact"/>
              <w:jc w:val="center"/>
              <w:rPr>
                <w:sz w:val="24"/>
              </w:rPr>
            </w:pPr>
            <w:r>
              <w:rPr>
                <w:rFonts w:hint="eastAsia"/>
                <w:sz w:val="24"/>
              </w:rPr>
              <w:t>30</w:t>
            </w:r>
            <w:r>
              <w:rPr>
                <w:sz w:val="24"/>
              </w:rPr>
              <w:t>分</w:t>
            </w:r>
          </w:p>
        </w:tc>
        <w:tc>
          <w:tcPr>
            <w:tcW w:w="1889" w:type="dxa"/>
            <w:vMerge w:val="restart"/>
            <w:noWrap w:val="0"/>
            <w:vAlign w:val="center"/>
          </w:tcPr>
          <w:p>
            <w:pPr>
              <w:adjustRightInd w:val="0"/>
              <w:snapToGrid w:val="0"/>
              <w:spacing w:line="340" w:lineRule="exact"/>
              <w:jc w:val="left"/>
              <w:rPr>
                <w:rFonts w:hint="eastAsia"/>
                <w:szCs w:val="21"/>
              </w:rPr>
            </w:pPr>
            <w:r>
              <w:rPr>
                <w:rFonts w:hint="eastAsia"/>
                <w:szCs w:val="21"/>
              </w:rPr>
              <w:t>项目经理</w:t>
            </w:r>
            <w:r>
              <w:rPr>
                <w:szCs w:val="21"/>
              </w:rPr>
              <w:t>任职资格与业绩</w:t>
            </w:r>
          </w:p>
        </w:tc>
        <w:tc>
          <w:tcPr>
            <w:tcW w:w="565" w:type="dxa"/>
            <w:vMerge w:val="restart"/>
            <w:noWrap w:val="0"/>
            <w:vAlign w:val="center"/>
          </w:tcPr>
          <w:p>
            <w:pPr>
              <w:adjustRightInd w:val="0"/>
              <w:snapToGrid w:val="0"/>
              <w:spacing w:line="340" w:lineRule="exact"/>
              <w:jc w:val="center"/>
              <w:rPr>
                <w:rFonts w:hint="eastAsia"/>
                <w:szCs w:val="21"/>
              </w:rPr>
            </w:pPr>
            <w:r>
              <w:rPr>
                <w:rFonts w:hint="eastAsia"/>
                <w:szCs w:val="21"/>
              </w:rPr>
              <w:t>15</w:t>
            </w:r>
          </w:p>
        </w:tc>
        <w:tc>
          <w:tcPr>
            <w:tcW w:w="1035" w:type="dxa"/>
            <w:noWrap w:val="0"/>
            <w:vAlign w:val="center"/>
          </w:tcPr>
          <w:p>
            <w:pPr>
              <w:adjustRightInd w:val="0"/>
              <w:snapToGrid w:val="0"/>
              <w:spacing w:line="340" w:lineRule="exact"/>
              <w:jc w:val="center"/>
              <w:rPr>
                <w:rFonts w:hint="eastAsia"/>
                <w:szCs w:val="21"/>
              </w:rPr>
            </w:pPr>
            <w:r>
              <w:rPr>
                <w:rFonts w:hint="eastAsia"/>
                <w:szCs w:val="21"/>
              </w:rPr>
              <w:t>9</w:t>
            </w:r>
            <w:r>
              <w:rPr>
                <w:szCs w:val="21"/>
              </w:rPr>
              <w:t>～</w:t>
            </w:r>
            <w:r>
              <w:rPr>
                <w:rFonts w:hint="eastAsia"/>
                <w:szCs w:val="21"/>
              </w:rPr>
              <w:t>15</w:t>
            </w:r>
          </w:p>
        </w:tc>
        <w:tc>
          <w:tcPr>
            <w:tcW w:w="3013" w:type="dxa"/>
            <w:noWrap w:val="0"/>
            <w:vAlign w:val="center"/>
          </w:tcPr>
          <w:p>
            <w:pPr>
              <w:adjustRightInd w:val="0"/>
              <w:snapToGrid w:val="0"/>
              <w:spacing w:line="340" w:lineRule="exact"/>
              <w:jc w:val="left"/>
              <w:rPr>
                <w:szCs w:val="21"/>
              </w:rPr>
            </w:pPr>
            <w:r>
              <w:rPr>
                <w:szCs w:val="21"/>
              </w:rPr>
              <w:t>在满足最低要求的基础上，</w:t>
            </w:r>
            <w:r>
              <w:rPr>
                <w:rFonts w:hint="eastAsia"/>
                <w:szCs w:val="21"/>
              </w:rPr>
              <w:t>项目经理</w:t>
            </w:r>
            <w:r>
              <w:rPr>
                <w:rFonts w:hint="eastAsia" w:ascii="宋体" w:hAnsi="宋体"/>
                <w:bCs/>
                <w:szCs w:val="21"/>
                <w:lang w:val="zh-CN"/>
              </w:rPr>
              <w:t>每增加1项三级以上（含）公路工程施工业绩，得3.0分，</w:t>
            </w:r>
            <w:r>
              <w:rPr>
                <w:szCs w:val="21"/>
              </w:rPr>
              <w:t>最多加</w:t>
            </w:r>
            <w:r>
              <w:rPr>
                <w:rFonts w:hint="eastAsia"/>
                <w:szCs w:val="21"/>
              </w:rPr>
              <w:t>6.0</w:t>
            </w:r>
            <w:r>
              <w:rPr>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1011" w:type="dxa"/>
            <w:vMerge w:val="continue"/>
            <w:noWrap w:val="0"/>
            <w:vAlign w:val="center"/>
          </w:tcPr>
          <w:p>
            <w:pPr>
              <w:adjustRightInd w:val="0"/>
              <w:snapToGrid w:val="0"/>
              <w:spacing w:line="340" w:lineRule="exact"/>
              <w:jc w:val="center"/>
              <w:rPr>
                <w:szCs w:val="21"/>
              </w:rPr>
            </w:pPr>
          </w:p>
        </w:tc>
        <w:tc>
          <w:tcPr>
            <w:tcW w:w="998" w:type="dxa"/>
            <w:gridSpan w:val="2"/>
            <w:vMerge w:val="continue"/>
            <w:noWrap w:val="0"/>
            <w:vAlign w:val="center"/>
          </w:tcPr>
          <w:p>
            <w:pPr>
              <w:adjustRightInd w:val="0"/>
              <w:snapToGrid w:val="0"/>
              <w:spacing w:line="340" w:lineRule="exact"/>
              <w:jc w:val="center"/>
              <w:rPr>
                <w:szCs w:val="21"/>
              </w:rPr>
            </w:pPr>
          </w:p>
        </w:tc>
        <w:tc>
          <w:tcPr>
            <w:tcW w:w="963" w:type="dxa"/>
            <w:vMerge w:val="continue"/>
            <w:noWrap w:val="0"/>
            <w:vAlign w:val="center"/>
          </w:tcPr>
          <w:p>
            <w:pPr>
              <w:adjustRightInd w:val="0"/>
              <w:snapToGrid w:val="0"/>
              <w:spacing w:line="340" w:lineRule="exact"/>
              <w:jc w:val="center"/>
              <w:rPr>
                <w:sz w:val="24"/>
              </w:rPr>
            </w:pPr>
          </w:p>
        </w:tc>
        <w:tc>
          <w:tcPr>
            <w:tcW w:w="1889" w:type="dxa"/>
            <w:vMerge w:val="continue"/>
            <w:noWrap w:val="0"/>
            <w:vAlign w:val="center"/>
          </w:tcPr>
          <w:p>
            <w:pPr>
              <w:adjustRightInd w:val="0"/>
              <w:snapToGrid w:val="0"/>
              <w:spacing w:line="340" w:lineRule="exact"/>
              <w:rPr>
                <w:rFonts w:hint="eastAsia"/>
                <w:szCs w:val="21"/>
              </w:rPr>
            </w:pPr>
          </w:p>
        </w:tc>
        <w:tc>
          <w:tcPr>
            <w:tcW w:w="565" w:type="dxa"/>
            <w:vMerge w:val="continue"/>
            <w:noWrap w:val="0"/>
            <w:vAlign w:val="center"/>
          </w:tcPr>
          <w:p>
            <w:pPr>
              <w:adjustRightInd w:val="0"/>
              <w:snapToGrid w:val="0"/>
              <w:spacing w:line="340" w:lineRule="exact"/>
              <w:jc w:val="center"/>
              <w:rPr>
                <w:szCs w:val="21"/>
              </w:rPr>
            </w:pPr>
          </w:p>
        </w:tc>
        <w:tc>
          <w:tcPr>
            <w:tcW w:w="1035" w:type="dxa"/>
            <w:noWrap w:val="0"/>
            <w:vAlign w:val="center"/>
          </w:tcPr>
          <w:p>
            <w:pPr>
              <w:snapToGrid w:val="0"/>
              <w:spacing w:line="340" w:lineRule="exact"/>
              <w:jc w:val="center"/>
              <w:rPr>
                <w:rFonts w:hint="eastAsia"/>
                <w:szCs w:val="21"/>
              </w:rPr>
            </w:pPr>
            <w:r>
              <w:rPr>
                <w:rFonts w:hint="eastAsia"/>
                <w:szCs w:val="21"/>
              </w:rPr>
              <w:t>9</w:t>
            </w:r>
          </w:p>
        </w:tc>
        <w:tc>
          <w:tcPr>
            <w:tcW w:w="3013" w:type="dxa"/>
            <w:noWrap w:val="0"/>
            <w:vAlign w:val="center"/>
          </w:tcPr>
          <w:p>
            <w:pPr>
              <w:adjustRightInd w:val="0"/>
              <w:snapToGrid w:val="0"/>
              <w:spacing w:line="340" w:lineRule="exact"/>
              <w:jc w:val="left"/>
              <w:rPr>
                <w:rFonts w:hint="eastAsia"/>
                <w:szCs w:val="21"/>
              </w:rPr>
            </w:pPr>
            <w:r>
              <w:rPr>
                <w:szCs w:val="21"/>
              </w:rPr>
              <w:t>满足最低资格审查条件要求。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531" w:hRule="atLeast"/>
          <w:jc w:val="center"/>
        </w:trPr>
        <w:tc>
          <w:tcPr>
            <w:tcW w:w="1011" w:type="dxa"/>
            <w:vMerge w:val="continue"/>
            <w:noWrap w:val="0"/>
            <w:vAlign w:val="center"/>
          </w:tcPr>
          <w:p>
            <w:pPr>
              <w:adjustRightInd w:val="0"/>
              <w:snapToGrid w:val="0"/>
              <w:spacing w:line="340" w:lineRule="exact"/>
              <w:jc w:val="center"/>
              <w:rPr>
                <w:szCs w:val="21"/>
              </w:rPr>
            </w:pPr>
          </w:p>
        </w:tc>
        <w:tc>
          <w:tcPr>
            <w:tcW w:w="998" w:type="dxa"/>
            <w:gridSpan w:val="2"/>
            <w:vMerge w:val="continue"/>
            <w:noWrap w:val="0"/>
            <w:vAlign w:val="center"/>
          </w:tcPr>
          <w:p>
            <w:pPr>
              <w:adjustRightInd w:val="0"/>
              <w:snapToGrid w:val="0"/>
              <w:spacing w:line="340" w:lineRule="exact"/>
              <w:jc w:val="center"/>
              <w:rPr>
                <w:szCs w:val="21"/>
              </w:rPr>
            </w:pPr>
          </w:p>
        </w:tc>
        <w:tc>
          <w:tcPr>
            <w:tcW w:w="963" w:type="dxa"/>
            <w:vMerge w:val="continue"/>
            <w:noWrap w:val="0"/>
            <w:vAlign w:val="center"/>
          </w:tcPr>
          <w:p>
            <w:pPr>
              <w:adjustRightInd w:val="0"/>
              <w:snapToGrid w:val="0"/>
              <w:spacing w:line="340" w:lineRule="exact"/>
              <w:jc w:val="center"/>
              <w:rPr>
                <w:sz w:val="24"/>
              </w:rPr>
            </w:pPr>
          </w:p>
        </w:tc>
        <w:tc>
          <w:tcPr>
            <w:tcW w:w="1889" w:type="dxa"/>
            <w:vMerge w:val="restart"/>
            <w:noWrap w:val="0"/>
            <w:vAlign w:val="center"/>
          </w:tcPr>
          <w:p>
            <w:pPr>
              <w:adjustRightInd w:val="0"/>
              <w:snapToGrid w:val="0"/>
              <w:spacing w:line="340" w:lineRule="exact"/>
              <w:jc w:val="left"/>
              <w:rPr>
                <w:rFonts w:hint="eastAsia"/>
                <w:szCs w:val="21"/>
              </w:rPr>
            </w:pPr>
            <w:r>
              <w:rPr>
                <w:rFonts w:hint="eastAsia"/>
                <w:szCs w:val="21"/>
              </w:rPr>
              <w:t>项目总工</w:t>
            </w:r>
            <w:r>
              <w:rPr>
                <w:szCs w:val="21"/>
              </w:rPr>
              <w:t>任职资格与业绩</w:t>
            </w:r>
          </w:p>
        </w:tc>
        <w:tc>
          <w:tcPr>
            <w:tcW w:w="565" w:type="dxa"/>
            <w:vMerge w:val="restart"/>
            <w:noWrap w:val="0"/>
            <w:vAlign w:val="center"/>
          </w:tcPr>
          <w:p>
            <w:pPr>
              <w:adjustRightInd w:val="0"/>
              <w:snapToGrid w:val="0"/>
              <w:spacing w:line="340" w:lineRule="exact"/>
              <w:jc w:val="center"/>
              <w:rPr>
                <w:rFonts w:hint="eastAsia"/>
                <w:szCs w:val="21"/>
              </w:rPr>
            </w:pPr>
            <w:r>
              <w:rPr>
                <w:rFonts w:hint="eastAsia"/>
                <w:szCs w:val="21"/>
              </w:rPr>
              <w:t>15</w:t>
            </w:r>
          </w:p>
        </w:tc>
        <w:tc>
          <w:tcPr>
            <w:tcW w:w="1035" w:type="dxa"/>
            <w:noWrap w:val="0"/>
            <w:vAlign w:val="center"/>
          </w:tcPr>
          <w:p>
            <w:pPr>
              <w:adjustRightInd w:val="0"/>
              <w:snapToGrid w:val="0"/>
              <w:spacing w:line="340" w:lineRule="exact"/>
              <w:jc w:val="center"/>
              <w:rPr>
                <w:rFonts w:hint="eastAsia"/>
                <w:szCs w:val="21"/>
              </w:rPr>
            </w:pPr>
            <w:r>
              <w:rPr>
                <w:rFonts w:hint="eastAsia"/>
                <w:szCs w:val="21"/>
              </w:rPr>
              <w:t>9</w:t>
            </w:r>
            <w:r>
              <w:rPr>
                <w:szCs w:val="21"/>
              </w:rPr>
              <w:t>～</w:t>
            </w:r>
            <w:r>
              <w:rPr>
                <w:rFonts w:hint="eastAsia"/>
                <w:szCs w:val="21"/>
              </w:rPr>
              <w:t>15</w:t>
            </w:r>
          </w:p>
        </w:tc>
        <w:tc>
          <w:tcPr>
            <w:tcW w:w="3013" w:type="dxa"/>
            <w:noWrap w:val="0"/>
            <w:vAlign w:val="center"/>
          </w:tcPr>
          <w:p>
            <w:pPr>
              <w:adjustRightInd w:val="0"/>
              <w:snapToGrid w:val="0"/>
              <w:spacing w:line="340" w:lineRule="exact"/>
              <w:jc w:val="left"/>
              <w:rPr>
                <w:szCs w:val="21"/>
              </w:rPr>
            </w:pPr>
            <w:r>
              <w:rPr>
                <w:szCs w:val="21"/>
              </w:rPr>
              <w:t>在满足最低要求的基础上，</w:t>
            </w:r>
            <w:r>
              <w:rPr>
                <w:rFonts w:hint="eastAsia"/>
                <w:szCs w:val="21"/>
              </w:rPr>
              <w:t>项目总工</w:t>
            </w:r>
            <w:r>
              <w:rPr>
                <w:rFonts w:hint="eastAsia" w:ascii="宋体" w:hAnsi="宋体"/>
                <w:bCs/>
                <w:szCs w:val="21"/>
                <w:lang w:val="zh-CN"/>
              </w:rPr>
              <w:t>每增加1项三级以上（含）公路工程施工业绩，得3.0分，</w:t>
            </w:r>
            <w:r>
              <w:rPr>
                <w:szCs w:val="21"/>
              </w:rPr>
              <w:t>最多加</w:t>
            </w:r>
            <w:r>
              <w:rPr>
                <w:rFonts w:hint="eastAsia"/>
                <w:szCs w:val="21"/>
              </w:rPr>
              <w:t>6.0</w:t>
            </w:r>
            <w:r>
              <w:rPr>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03" w:hRule="atLeast"/>
          <w:jc w:val="center"/>
        </w:trPr>
        <w:tc>
          <w:tcPr>
            <w:tcW w:w="1011" w:type="dxa"/>
            <w:vMerge w:val="continue"/>
            <w:noWrap w:val="0"/>
            <w:vAlign w:val="center"/>
          </w:tcPr>
          <w:p>
            <w:pPr>
              <w:adjustRightInd w:val="0"/>
              <w:snapToGrid w:val="0"/>
              <w:spacing w:line="340" w:lineRule="exact"/>
              <w:jc w:val="center"/>
              <w:rPr>
                <w:szCs w:val="21"/>
              </w:rPr>
            </w:pPr>
          </w:p>
        </w:tc>
        <w:tc>
          <w:tcPr>
            <w:tcW w:w="998" w:type="dxa"/>
            <w:gridSpan w:val="2"/>
            <w:vMerge w:val="continue"/>
            <w:noWrap w:val="0"/>
            <w:vAlign w:val="center"/>
          </w:tcPr>
          <w:p>
            <w:pPr>
              <w:adjustRightInd w:val="0"/>
              <w:snapToGrid w:val="0"/>
              <w:spacing w:line="340" w:lineRule="exact"/>
              <w:jc w:val="center"/>
              <w:rPr>
                <w:szCs w:val="21"/>
              </w:rPr>
            </w:pPr>
          </w:p>
        </w:tc>
        <w:tc>
          <w:tcPr>
            <w:tcW w:w="963" w:type="dxa"/>
            <w:vMerge w:val="continue"/>
            <w:noWrap w:val="0"/>
            <w:vAlign w:val="center"/>
          </w:tcPr>
          <w:p>
            <w:pPr>
              <w:adjustRightInd w:val="0"/>
              <w:snapToGrid w:val="0"/>
              <w:spacing w:line="340" w:lineRule="exact"/>
              <w:jc w:val="center"/>
              <w:rPr>
                <w:sz w:val="24"/>
              </w:rPr>
            </w:pPr>
          </w:p>
        </w:tc>
        <w:tc>
          <w:tcPr>
            <w:tcW w:w="1889" w:type="dxa"/>
            <w:vMerge w:val="continue"/>
            <w:noWrap w:val="0"/>
            <w:vAlign w:val="center"/>
          </w:tcPr>
          <w:p>
            <w:pPr>
              <w:adjustRightInd w:val="0"/>
              <w:snapToGrid w:val="0"/>
              <w:spacing w:line="340" w:lineRule="exact"/>
              <w:jc w:val="left"/>
              <w:rPr>
                <w:szCs w:val="21"/>
              </w:rPr>
            </w:pPr>
          </w:p>
        </w:tc>
        <w:tc>
          <w:tcPr>
            <w:tcW w:w="565" w:type="dxa"/>
            <w:vMerge w:val="continue"/>
            <w:noWrap w:val="0"/>
            <w:vAlign w:val="center"/>
          </w:tcPr>
          <w:p>
            <w:pPr>
              <w:adjustRightInd w:val="0"/>
              <w:snapToGrid w:val="0"/>
              <w:spacing w:line="340" w:lineRule="exact"/>
              <w:jc w:val="center"/>
              <w:rPr>
                <w:rFonts w:hint="eastAsia"/>
                <w:szCs w:val="21"/>
              </w:rPr>
            </w:pPr>
          </w:p>
        </w:tc>
        <w:tc>
          <w:tcPr>
            <w:tcW w:w="1035" w:type="dxa"/>
            <w:noWrap w:val="0"/>
            <w:vAlign w:val="center"/>
          </w:tcPr>
          <w:p>
            <w:pPr>
              <w:snapToGrid w:val="0"/>
              <w:spacing w:line="340" w:lineRule="exact"/>
              <w:jc w:val="center"/>
              <w:rPr>
                <w:rFonts w:hint="eastAsia"/>
                <w:szCs w:val="21"/>
              </w:rPr>
            </w:pPr>
            <w:r>
              <w:rPr>
                <w:rFonts w:hint="eastAsia"/>
                <w:szCs w:val="21"/>
              </w:rPr>
              <w:t>9</w:t>
            </w:r>
          </w:p>
        </w:tc>
        <w:tc>
          <w:tcPr>
            <w:tcW w:w="3013" w:type="dxa"/>
            <w:noWrap w:val="0"/>
            <w:vAlign w:val="center"/>
          </w:tcPr>
          <w:p>
            <w:pPr>
              <w:adjustRightInd w:val="0"/>
              <w:snapToGrid w:val="0"/>
              <w:spacing w:line="340" w:lineRule="exact"/>
              <w:jc w:val="left"/>
              <w:rPr>
                <w:szCs w:val="21"/>
              </w:rPr>
            </w:pPr>
            <w:r>
              <w:rPr>
                <w:szCs w:val="21"/>
              </w:rPr>
              <w:t>满足最低资格审查条件要求。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910" w:hRule="atLeast"/>
          <w:jc w:val="center"/>
        </w:trPr>
        <w:tc>
          <w:tcPr>
            <w:tcW w:w="1011" w:type="dxa"/>
            <w:vMerge w:val="restart"/>
            <w:noWrap w:val="0"/>
            <w:vAlign w:val="center"/>
          </w:tcPr>
          <w:p>
            <w:pPr>
              <w:adjustRightInd w:val="0"/>
              <w:snapToGrid w:val="0"/>
              <w:spacing w:line="340" w:lineRule="exact"/>
              <w:jc w:val="center"/>
              <w:rPr>
                <w:rFonts w:hint="eastAsia"/>
                <w:szCs w:val="21"/>
              </w:rPr>
            </w:pPr>
            <w:r>
              <w:rPr>
                <w:szCs w:val="21"/>
              </w:rPr>
              <w:t>2.2.4（</w:t>
            </w:r>
            <w:r>
              <w:rPr>
                <w:rFonts w:hint="eastAsia"/>
                <w:szCs w:val="21"/>
              </w:rPr>
              <w:t>3）</w:t>
            </w:r>
          </w:p>
        </w:tc>
        <w:tc>
          <w:tcPr>
            <w:tcW w:w="998" w:type="dxa"/>
            <w:gridSpan w:val="2"/>
            <w:vMerge w:val="restart"/>
            <w:noWrap w:val="0"/>
            <w:vAlign w:val="center"/>
          </w:tcPr>
          <w:p>
            <w:pPr>
              <w:adjustRightInd w:val="0"/>
              <w:snapToGrid w:val="0"/>
              <w:spacing w:line="340" w:lineRule="exact"/>
              <w:jc w:val="center"/>
              <w:rPr>
                <w:rFonts w:hint="eastAsia"/>
                <w:szCs w:val="21"/>
              </w:rPr>
            </w:pPr>
            <w:r>
              <w:rPr>
                <w:rFonts w:hint="eastAsia"/>
                <w:szCs w:val="21"/>
              </w:rPr>
              <w:t>技术</w:t>
            </w:r>
            <w:r>
              <w:rPr>
                <w:szCs w:val="21"/>
              </w:rPr>
              <w:t>能力</w:t>
            </w:r>
          </w:p>
        </w:tc>
        <w:tc>
          <w:tcPr>
            <w:tcW w:w="963" w:type="dxa"/>
            <w:vMerge w:val="restart"/>
            <w:noWrap w:val="0"/>
            <w:vAlign w:val="center"/>
          </w:tcPr>
          <w:p>
            <w:pPr>
              <w:snapToGrid w:val="0"/>
              <w:spacing w:line="340" w:lineRule="exact"/>
              <w:jc w:val="center"/>
              <w:rPr>
                <w:sz w:val="24"/>
              </w:rPr>
            </w:pPr>
            <w:r>
              <w:rPr>
                <w:rFonts w:hint="eastAsia"/>
                <w:sz w:val="24"/>
              </w:rPr>
              <w:t>15</w:t>
            </w:r>
            <w:r>
              <w:rPr>
                <w:sz w:val="24"/>
              </w:rPr>
              <w:t>分</w:t>
            </w:r>
          </w:p>
        </w:tc>
        <w:tc>
          <w:tcPr>
            <w:tcW w:w="1889" w:type="dxa"/>
            <w:vMerge w:val="restart"/>
            <w:noWrap w:val="0"/>
            <w:vAlign w:val="center"/>
          </w:tcPr>
          <w:p>
            <w:pPr>
              <w:adjustRightInd w:val="0"/>
              <w:snapToGrid w:val="0"/>
              <w:spacing w:line="340" w:lineRule="exact"/>
              <w:jc w:val="left"/>
              <w:rPr>
                <w:szCs w:val="21"/>
              </w:rPr>
            </w:pPr>
            <w:r>
              <w:rPr>
                <w:rFonts w:hint="eastAsia"/>
                <w:szCs w:val="21"/>
              </w:rPr>
              <w:t>企业业绩（</w:t>
            </w:r>
            <w:r>
              <w:rPr>
                <w:b/>
                <w:szCs w:val="21"/>
              </w:rPr>
              <w:t>201</w:t>
            </w:r>
            <w:r>
              <w:rPr>
                <w:rFonts w:hint="eastAsia"/>
                <w:b/>
                <w:szCs w:val="21"/>
              </w:rPr>
              <w:t>4</w:t>
            </w:r>
            <w:r>
              <w:rPr>
                <w:b/>
                <w:szCs w:val="21"/>
              </w:rPr>
              <w:t>年</w:t>
            </w:r>
            <w:r>
              <w:rPr>
                <w:rFonts w:hint="eastAsia"/>
                <w:b/>
                <w:szCs w:val="21"/>
              </w:rPr>
              <w:t>1</w:t>
            </w:r>
            <w:r>
              <w:rPr>
                <w:b/>
                <w:szCs w:val="21"/>
              </w:rPr>
              <w:t>月1日之后交工的工程</w:t>
            </w:r>
            <w:r>
              <w:rPr>
                <w:rFonts w:hint="eastAsia"/>
                <w:b/>
                <w:szCs w:val="21"/>
              </w:rPr>
              <w:t>，项目性质应属改建、扩建或新建类，养护工程、国外工程不能作为本次招标的企业工程业绩。一级公路或高速公路工程全幅按2倍计算，半幅按1倍计算</w:t>
            </w:r>
            <w:r>
              <w:rPr>
                <w:rFonts w:hint="eastAsia"/>
                <w:szCs w:val="21"/>
              </w:rPr>
              <w:t>）</w:t>
            </w:r>
          </w:p>
          <w:p>
            <w:pPr>
              <w:adjustRightInd w:val="0"/>
              <w:snapToGrid w:val="0"/>
              <w:spacing w:line="340" w:lineRule="exact"/>
              <w:jc w:val="left"/>
              <w:rPr>
                <w:rFonts w:hint="eastAsia"/>
                <w:szCs w:val="21"/>
              </w:rPr>
            </w:pPr>
          </w:p>
        </w:tc>
        <w:tc>
          <w:tcPr>
            <w:tcW w:w="565" w:type="dxa"/>
            <w:vMerge w:val="restart"/>
            <w:noWrap w:val="0"/>
            <w:vAlign w:val="center"/>
          </w:tcPr>
          <w:p>
            <w:pPr>
              <w:snapToGrid w:val="0"/>
              <w:spacing w:line="340" w:lineRule="exact"/>
              <w:jc w:val="center"/>
              <w:rPr>
                <w:rFonts w:hint="eastAsia"/>
                <w:szCs w:val="21"/>
              </w:rPr>
            </w:pPr>
            <w:r>
              <w:rPr>
                <w:rFonts w:hint="eastAsia"/>
                <w:szCs w:val="21"/>
              </w:rPr>
              <w:t>15</w:t>
            </w:r>
          </w:p>
        </w:tc>
        <w:tc>
          <w:tcPr>
            <w:tcW w:w="1035" w:type="dxa"/>
            <w:noWrap w:val="0"/>
            <w:vAlign w:val="center"/>
          </w:tcPr>
          <w:p>
            <w:pPr>
              <w:adjustRightInd w:val="0"/>
              <w:snapToGrid w:val="0"/>
              <w:spacing w:line="340" w:lineRule="exact"/>
              <w:jc w:val="center"/>
              <w:rPr>
                <w:szCs w:val="21"/>
              </w:rPr>
            </w:pPr>
            <w:r>
              <w:rPr>
                <w:rFonts w:hint="eastAsia"/>
                <w:szCs w:val="21"/>
              </w:rPr>
              <w:t>9</w:t>
            </w:r>
            <w:r>
              <w:rPr>
                <w:szCs w:val="21"/>
              </w:rPr>
              <w:t>～</w:t>
            </w:r>
            <w:r>
              <w:rPr>
                <w:rFonts w:hint="eastAsia"/>
                <w:szCs w:val="21"/>
              </w:rPr>
              <w:t>15</w:t>
            </w:r>
          </w:p>
        </w:tc>
        <w:tc>
          <w:tcPr>
            <w:tcW w:w="3013" w:type="dxa"/>
            <w:noWrap w:val="0"/>
            <w:vAlign w:val="center"/>
          </w:tcPr>
          <w:p>
            <w:pPr>
              <w:adjustRightInd w:val="0"/>
              <w:snapToGrid w:val="0"/>
              <w:spacing w:line="340" w:lineRule="exact"/>
              <w:jc w:val="left"/>
              <w:rPr>
                <w:rFonts w:ascii="宋体" w:hAnsi="宋体"/>
              </w:rPr>
            </w:pPr>
            <w:r>
              <w:rPr>
                <w:rFonts w:ascii="宋体" w:hAnsi="宋体"/>
              </w:rPr>
              <w:t>在满足最低要求的基础上，</w:t>
            </w:r>
          </w:p>
          <w:p>
            <w:pPr>
              <w:adjustRightInd w:val="0"/>
              <w:snapToGrid w:val="0"/>
              <w:spacing w:line="340" w:lineRule="exact"/>
              <w:jc w:val="left"/>
            </w:pPr>
            <w:r>
              <w:rPr>
                <w:rFonts w:ascii="宋体" w:hAnsi="宋体"/>
              </w:rPr>
              <w:t>每增加</w:t>
            </w:r>
            <w:r>
              <w:rPr>
                <w:rFonts w:hint="eastAsia" w:ascii="宋体" w:hAnsi="宋体"/>
                <w:szCs w:val="21"/>
              </w:rPr>
              <w:t>1</w:t>
            </w:r>
            <w:r>
              <w:rPr>
                <w:rFonts w:hint="eastAsia" w:ascii="宋体" w:hAnsi="宋体"/>
                <w:bCs/>
                <w:szCs w:val="21"/>
              </w:rPr>
              <w:t>座公路工程大桥施工业绩</w:t>
            </w:r>
            <w:r>
              <w:rPr>
                <w:rFonts w:ascii="宋体" w:hAnsi="宋体"/>
              </w:rPr>
              <w:t>加</w:t>
            </w:r>
            <w:r>
              <w:rPr>
                <w:rFonts w:hint="eastAsia" w:ascii="宋体" w:hAnsi="宋体"/>
              </w:rPr>
              <w:t>3</w:t>
            </w:r>
            <w:r>
              <w:rPr>
                <w:rFonts w:ascii="宋体" w:hAnsi="宋体"/>
              </w:rPr>
              <w:t>分，最多加</w:t>
            </w:r>
            <w:r>
              <w:rPr>
                <w:rFonts w:hint="eastAsia" w:ascii="宋体" w:hAnsi="宋体"/>
              </w:rPr>
              <w:t>6.0</w:t>
            </w:r>
            <w:r>
              <w:rPr>
                <w:rFonts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98" w:hRule="atLeast"/>
          <w:jc w:val="center"/>
        </w:trPr>
        <w:tc>
          <w:tcPr>
            <w:tcW w:w="1011" w:type="dxa"/>
            <w:vMerge w:val="continue"/>
            <w:noWrap w:val="0"/>
            <w:vAlign w:val="center"/>
          </w:tcPr>
          <w:p>
            <w:pPr>
              <w:adjustRightInd w:val="0"/>
              <w:snapToGrid w:val="0"/>
              <w:spacing w:line="340" w:lineRule="exact"/>
              <w:jc w:val="center"/>
              <w:rPr>
                <w:szCs w:val="21"/>
              </w:rPr>
            </w:pPr>
          </w:p>
        </w:tc>
        <w:tc>
          <w:tcPr>
            <w:tcW w:w="998" w:type="dxa"/>
            <w:gridSpan w:val="2"/>
            <w:vMerge w:val="continue"/>
            <w:noWrap w:val="0"/>
            <w:vAlign w:val="center"/>
          </w:tcPr>
          <w:p>
            <w:pPr>
              <w:adjustRightInd w:val="0"/>
              <w:snapToGrid w:val="0"/>
              <w:spacing w:line="340" w:lineRule="exact"/>
              <w:jc w:val="center"/>
              <w:rPr>
                <w:rFonts w:hint="eastAsia"/>
                <w:szCs w:val="21"/>
              </w:rPr>
            </w:pPr>
          </w:p>
        </w:tc>
        <w:tc>
          <w:tcPr>
            <w:tcW w:w="963" w:type="dxa"/>
            <w:vMerge w:val="continue"/>
            <w:noWrap w:val="0"/>
            <w:vAlign w:val="center"/>
          </w:tcPr>
          <w:p>
            <w:pPr>
              <w:snapToGrid w:val="0"/>
              <w:spacing w:line="340" w:lineRule="exact"/>
              <w:jc w:val="center"/>
              <w:rPr>
                <w:rFonts w:hint="eastAsia"/>
                <w:sz w:val="24"/>
              </w:rPr>
            </w:pPr>
          </w:p>
        </w:tc>
        <w:tc>
          <w:tcPr>
            <w:tcW w:w="1889" w:type="dxa"/>
            <w:vMerge w:val="continue"/>
            <w:noWrap w:val="0"/>
            <w:vAlign w:val="center"/>
          </w:tcPr>
          <w:p>
            <w:pPr>
              <w:adjustRightInd w:val="0"/>
              <w:snapToGrid w:val="0"/>
              <w:spacing w:line="340" w:lineRule="exact"/>
              <w:jc w:val="left"/>
              <w:rPr>
                <w:rFonts w:hint="eastAsia"/>
                <w:szCs w:val="21"/>
              </w:rPr>
            </w:pPr>
          </w:p>
        </w:tc>
        <w:tc>
          <w:tcPr>
            <w:tcW w:w="565" w:type="dxa"/>
            <w:vMerge w:val="continue"/>
            <w:noWrap w:val="0"/>
            <w:vAlign w:val="center"/>
          </w:tcPr>
          <w:p>
            <w:pPr>
              <w:adjustRightInd w:val="0"/>
              <w:snapToGrid w:val="0"/>
              <w:spacing w:line="340" w:lineRule="exact"/>
              <w:jc w:val="center"/>
              <w:rPr>
                <w:rFonts w:hint="eastAsia"/>
                <w:szCs w:val="21"/>
              </w:rPr>
            </w:pPr>
          </w:p>
        </w:tc>
        <w:tc>
          <w:tcPr>
            <w:tcW w:w="1035" w:type="dxa"/>
            <w:noWrap w:val="0"/>
            <w:vAlign w:val="center"/>
          </w:tcPr>
          <w:p>
            <w:pPr>
              <w:adjustRightInd w:val="0"/>
              <w:snapToGrid w:val="0"/>
              <w:spacing w:line="340" w:lineRule="exact"/>
              <w:jc w:val="center"/>
              <w:rPr>
                <w:szCs w:val="21"/>
              </w:rPr>
            </w:pPr>
            <w:r>
              <w:rPr>
                <w:rFonts w:hint="eastAsia"/>
                <w:szCs w:val="21"/>
              </w:rPr>
              <w:t>9</w:t>
            </w:r>
          </w:p>
        </w:tc>
        <w:tc>
          <w:tcPr>
            <w:tcW w:w="3013" w:type="dxa"/>
            <w:noWrap w:val="0"/>
            <w:vAlign w:val="center"/>
          </w:tcPr>
          <w:p>
            <w:pPr>
              <w:adjustRightInd w:val="0"/>
              <w:snapToGrid w:val="0"/>
              <w:spacing w:line="340" w:lineRule="exact"/>
              <w:jc w:val="left"/>
              <w:rPr>
                <w:szCs w:val="21"/>
              </w:rPr>
            </w:pPr>
            <w:r>
              <w:rPr>
                <w:szCs w:val="21"/>
              </w:rPr>
              <w:t>满足</w:t>
            </w:r>
            <w:r>
              <w:rPr>
                <w:rFonts w:hint="eastAsia"/>
                <w:szCs w:val="21"/>
              </w:rPr>
              <w:t>业绩最</w:t>
            </w:r>
            <w:r>
              <w:rPr>
                <w:szCs w:val="21"/>
              </w:rPr>
              <w:t>低资格审查条件要求。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9531" w:hRule="atLeast"/>
          <w:jc w:val="center"/>
        </w:trPr>
        <w:tc>
          <w:tcPr>
            <w:tcW w:w="1011" w:type="dxa"/>
            <w:vMerge w:val="continue"/>
            <w:noWrap w:val="0"/>
            <w:vAlign w:val="center"/>
          </w:tcPr>
          <w:p>
            <w:pPr>
              <w:adjustRightInd w:val="0"/>
              <w:snapToGrid w:val="0"/>
              <w:spacing w:line="340" w:lineRule="exact"/>
              <w:jc w:val="center"/>
              <w:rPr>
                <w:szCs w:val="21"/>
              </w:rPr>
            </w:pPr>
          </w:p>
        </w:tc>
        <w:tc>
          <w:tcPr>
            <w:tcW w:w="998" w:type="dxa"/>
            <w:gridSpan w:val="2"/>
            <w:noWrap w:val="0"/>
            <w:vAlign w:val="center"/>
          </w:tcPr>
          <w:p>
            <w:pPr>
              <w:adjustRightInd w:val="0"/>
              <w:snapToGrid w:val="0"/>
              <w:spacing w:line="340" w:lineRule="exact"/>
              <w:ind w:left="113" w:right="113"/>
              <w:jc w:val="center"/>
              <w:rPr>
                <w:rFonts w:hint="eastAsia"/>
                <w:szCs w:val="21"/>
              </w:rPr>
            </w:pPr>
            <w:r>
              <w:rPr>
                <w:rFonts w:hint="eastAsia"/>
                <w:szCs w:val="21"/>
              </w:rPr>
              <w:t>履约</w:t>
            </w:r>
          </w:p>
          <w:p>
            <w:pPr>
              <w:adjustRightInd w:val="0"/>
              <w:snapToGrid w:val="0"/>
              <w:spacing w:line="340" w:lineRule="exact"/>
              <w:ind w:left="113" w:right="113"/>
              <w:jc w:val="center"/>
              <w:rPr>
                <w:rFonts w:hint="eastAsia"/>
                <w:szCs w:val="21"/>
              </w:rPr>
            </w:pPr>
            <w:r>
              <w:rPr>
                <w:rFonts w:hint="eastAsia"/>
                <w:szCs w:val="21"/>
              </w:rPr>
              <w:t>信誉</w:t>
            </w:r>
          </w:p>
        </w:tc>
        <w:tc>
          <w:tcPr>
            <w:tcW w:w="963" w:type="dxa"/>
            <w:noWrap w:val="0"/>
            <w:vAlign w:val="center"/>
          </w:tcPr>
          <w:p>
            <w:pPr>
              <w:adjustRightInd w:val="0"/>
              <w:snapToGrid w:val="0"/>
              <w:spacing w:line="340" w:lineRule="exact"/>
              <w:jc w:val="center"/>
              <w:rPr>
                <w:rFonts w:hint="eastAsia"/>
                <w:szCs w:val="21"/>
              </w:rPr>
            </w:pPr>
            <w:r>
              <w:rPr>
                <w:rFonts w:hint="eastAsia"/>
                <w:szCs w:val="21"/>
              </w:rPr>
              <w:t>15分</w:t>
            </w:r>
          </w:p>
        </w:tc>
        <w:tc>
          <w:tcPr>
            <w:tcW w:w="1889" w:type="dxa"/>
            <w:noWrap w:val="0"/>
            <w:vAlign w:val="center"/>
          </w:tcPr>
          <w:p>
            <w:pPr>
              <w:adjustRightInd w:val="0"/>
              <w:snapToGrid w:val="0"/>
              <w:spacing w:line="340" w:lineRule="exact"/>
              <w:jc w:val="left"/>
              <w:rPr>
                <w:szCs w:val="21"/>
              </w:rPr>
            </w:pPr>
            <w:r>
              <w:rPr>
                <w:szCs w:val="21"/>
              </w:rPr>
              <w:t>信用评价</w:t>
            </w:r>
          </w:p>
        </w:tc>
        <w:tc>
          <w:tcPr>
            <w:tcW w:w="565" w:type="dxa"/>
            <w:noWrap w:val="0"/>
            <w:vAlign w:val="center"/>
          </w:tcPr>
          <w:p>
            <w:pPr>
              <w:snapToGrid w:val="0"/>
              <w:spacing w:line="340" w:lineRule="exact"/>
              <w:jc w:val="center"/>
              <w:rPr>
                <w:rFonts w:hint="eastAsia"/>
                <w:szCs w:val="21"/>
              </w:rPr>
            </w:pPr>
            <w:r>
              <w:rPr>
                <w:rFonts w:hint="eastAsia"/>
                <w:szCs w:val="21"/>
              </w:rPr>
              <w:t>15</w:t>
            </w:r>
          </w:p>
        </w:tc>
        <w:tc>
          <w:tcPr>
            <w:tcW w:w="1035" w:type="dxa"/>
            <w:noWrap w:val="0"/>
            <w:vAlign w:val="center"/>
          </w:tcPr>
          <w:p>
            <w:pPr>
              <w:autoSpaceDE w:val="0"/>
              <w:autoSpaceDN w:val="0"/>
              <w:adjustRightInd w:val="0"/>
              <w:snapToGrid w:val="0"/>
              <w:jc w:val="center"/>
              <w:rPr>
                <w:rFonts w:hint="eastAsia"/>
                <w:szCs w:val="21"/>
              </w:rPr>
            </w:pPr>
            <w:r>
              <w:rPr>
                <w:rFonts w:hint="eastAsia"/>
                <w:szCs w:val="21"/>
              </w:rPr>
              <w:t>10</w:t>
            </w:r>
            <w:r>
              <w:rPr>
                <w:szCs w:val="21"/>
              </w:rPr>
              <w:t>～</w:t>
            </w:r>
            <w:r>
              <w:rPr>
                <w:rFonts w:hint="eastAsia"/>
                <w:szCs w:val="21"/>
              </w:rPr>
              <w:t>15</w:t>
            </w:r>
          </w:p>
        </w:tc>
        <w:tc>
          <w:tcPr>
            <w:tcW w:w="3013" w:type="dxa"/>
            <w:noWrap w:val="0"/>
            <w:vAlign w:val="center"/>
          </w:tcPr>
          <w:p>
            <w:pPr>
              <w:autoSpaceDE w:val="0"/>
              <w:autoSpaceDN w:val="0"/>
              <w:adjustRightInd w:val="0"/>
              <w:snapToGrid w:val="0"/>
              <w:ind w:firstLine="420" w:firstLineChars="200"/>
              <w:jc w:val="left"/>
              <w:rPr>
                <w:rFonts w:hint="eastAsia" w:ascii="宋体" w:hAnsi="宋体"/>
                <w:szCs w:val="21"/>
              </w:rPr>
            </w:pPr>
            <w:r>
              <w:rPr>
                <w:rFonts w:hint="eastAsia" w:ascii="宋体" w:hAnsi="宋体"/>
                <w:szCs w:val="21"/>
              </w:rPr>
              <w:t>按照吉林省交通运输厅发布的《关于发布2018年度公路水运设计、施工企业信用评价吉林省省级综合评价结果的公告》中的省级综合评价结果和交通运输部网站&lt;全国公路建设市场信用信息管理系统&gt;全国公路从业单位信用评价结果中所能查询到的投标人的2018年度信用等级评价结果进行评分。</w:t>
            </w:r>
          </w:p>
          <w:p>
            <w:pPr>
              <w:autoSpaceDE w:val="0"/>
              <w:autoSpaceDN w:val="0"/>
              <w:adjustRightInd w:val="0"/>
              <w:snapToGrid w:val="0"/>
              <w:ind w:firstLine="420" w:firstLineChars="200"/>
              <w:jc w:val="left"/>
              <w:rPr>
                <w:rFonts w:hint="eastAsia" w:ascii="宋体" w:hAnsi="宋体"/>
                <w:szCs w:val="21"/>
              </w:rPr>
            </w:pPr>
            <w:r>
              <w:rPr>
                <w:rFonts w:hint="eastAsia" w:ascii="宋体" w:hAnsi="宋体"/>
                <w:szCs w:val="21"/>
              </w:rPr>
              <w:t>如投标人仅有省级综合评价结果或仅有全国公路从业单位信用评价结果，则以省级综合评价结果或全国公路从业单位信用评价结果为准。</w:t>
            </w:r>
          </w:p>
          <w:p>
            <w:pPr>
              <w:autoSpaceDE w:val="0"/>
              <w:autoSpaceDN w:val="0"/>
              <w:adjustRightInd w:val="0"/>
              <w:snapToGrid w:val="0"/>
              <w:ind w:firstLine="420" w:firstLineChars="200"/>
              <w:jc w:val="left"/>
              <w:rPr>
                <w:rFonts w:hint="eastAsia" w:ascii="宋体" w:hAnsi="宋体"/>
                <w:szCs w:val="21"/>
              </w:rPr>
            </w:pPr>
            <w:r>
              <w:rPr>
                <w:rFonts w:hint="eastAsia" w:ascii="宋体" w:hAnsi="宋体"/>
                <w:szCs w:val="21"/>
              </w:rPr>
              <w:t>如投标人在省级综合评价结果和全国公路从业单位信用评价结果中均能查询到信用等级评价，则以全国公路从业单位信用评价结果为准。</w:t>
            </w:r>
          </w:p>
          <w:p>
            <w:pPr>
              <w:autoSpaceDE w:val="0"/>
              <w:autoSpaceDN w:val="0"/>
              <w:adjustRightInd w:val="0"/>
              <w:snapToGrid w:val="0"/>
              <w:ind w:firstLine="482" w:firstLineChars="200"/>
              <w:jc w:val="left"/>
              <w:rPr>
                <w:rFonts w:hint="eastAsia" w:ascii="宋体" w:hAnsi="宋体"/>
                <w:szCs w:val="21"/>
              </w:rPr>
            </w:pPr>
            <w:r>
              <w:rPr>
                <w:rFonts w:hint="eastAsia" w:ascii="黑体" w:hAnsi="黑体" w:eastAsia="黑体"/>
                <w:b/>
                <w:kern w:val="0"/>
                <w:sz w:val="24"/>
                <w:lang w:val="zh-CN"/>
              </w:rPr>
              <w:t>以联合体形式参与投标的，仅对联合体牵头人查询信用等级评价结果。</w:t>
            </w:r>
          </w:p>
          <w:p>
            <w:pPr>
              <w:autoSpaceDE w:val="0"/>
              <w:autoSpaceDN w:val="0"/>
              <w:adjustRightInd w:val="0"/>
              <w:snapToGrid w:val="0"/>
              <w:ind w:firstLine="413" w:firstLineChars="196"/>
              <w:jc w:val="left"/>
              <w:rPr>
                <w:rFonts w:hint="eastAsia" w:ascii="宋体" w:hAnsi="宋体"/>
                <w:b/>
                <w:szCs w:val="21"/>
              </w:rPr>
            </w:pPr>
            <w:r>
              <w:rPr>
                <w:rFonts w:hint="eastAsia" w:ascii="宋体" w:hAnsi="宋体"/>
                <w:b/>
                <w:szCs w:val="21"/>
              </w:rPr>
              <w:t>信用等级AA得15.0分，信用等级A得14.0分，信用等级B得13.0分，信用等级C得12.0分，信用等级D得11.0分。</w:t>
            </w:r>
          </w:p>
          <w:p>
            <w:pPr>
              <w:autoSpaceDE w:val="0"/>
              <w:autoSpaceDN w:val="0"/>
              <w:adjustRightInd w:val="0"/>
              <w:snapToGrid w:val="0"/>
              <w:ind w:firstLine="413" w:firstLineChars="196"/>
              <w:jc w:val="left"/>
              <w:rPr>
                <w:rFonts w:ascii="宋体" w:hAnsi="宋体"/>
                <w:b/>
                <w:szCs w:val="21"/>
              </w:rPr>
            </w:pPr>
            <w:r>
              <w:rPr>
                <w:rFonts w:hint="eastAsia" w:ascii="宋体" w:hAnsi="宋体"/>
                <w:b/>
                <w:szCs w:val="21"/>
              </w:rPr>
              <w:t>如投标人未列入上述信用评价结果，投标人的信用等级按A级对待。</w:t>
            </w:r>
          </w:p>
          <w:p>
            <w:pPr>
              <w:autoSpaceDE w:val="0"/>
              <w:autoSpaceDN w:val="0"/>
              <w:adjustRightInd w:val="0"/>
              <w:snapToGrid w:val="0"/>
              <w:ind w:firstLine="420" w:firstLineChars="200"/>
              <w:jc w:val="left"/>
              <w:rPr>
                <w:rFonts w:hint="eastAsia"/>
                <w:szCs w:val="21"/>
              </w:rPr>
            </w:pPr>
            <w:r>
              <w:rPr>
                <w:rFonts w:hint="eastAsia"/>
              </w:rPr>
              <w:t>无信用评价指投标人在</w:t>
            </w:r>
            <w:r>
              <w:rPr>
                <w:rFonts w:hint="eastAsia" w:ascii="宋体" w:hAnsi="宋体"/>
                <w:szCs w:val="21"/>
              </w:rPr>
              <w:t>省级综合评价结果</w:t>
            </w:r>
            <w:r>
              <w:rPr>
                <w:rFonts w:hint="eastAsia"/>
              </w:rPr>
              <w:t>和</w:t>
            </w:r>
            <w:r>
              <w:rPr>
                <w:rFonts w:hint="eastAsia" w:ascii="宋体" w:hAnsi="宋体"/>
                <w:szCs w:val="21"/>
              </w:rPr>
              <w:t>全国公路从业单位信用评价结果</w:t>
            </w:r>
            <w:r>
              <w:rPr>
                <w:rFonts w:hint="eastAsia"/>
              </w:rPr>
              <w:t>二者均没有的情况。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1011" w:type="dxa"/>
            <w:noWrap w:val="0"/>
            <w:vAlign w:val="center"/>
          </w:tcPr>
          <w:p>
            <w:pPr>
              <w:adjustRightInd w:val="0"/>
              <w:snapToGrid w:val="0"/>
              <w:spacing w:line="340" w:lineRule="exact"/>
              <w:jc w:val="center"/>
              <w:rPr>
                <w:rFonts w:hint="eastAsia"/>
                <w:szCs w:val="21"/>
              </w:rPr>
            </w:pPr>
            <w:r>
              <w:rPr>
                <w:szCs w:val="21"/>
              </w:rPr>
              <w:t>2.2.</w:t>
            </w:r>
            <w:r>
              <w:rPr>
                <w:rFonts w:hint="eastAsia"/>
                <w:szCs w:val="21"/>
              </w:rPr>
              <w:t>4</w:t>
            </w:r>
            <w:r>
              <w:rPr>
                <w:szCs w:val="21"/>
              </w:rPr>
              <w:t>（</w:t>
            </w:r>
            <w:r>
              <w:rPr>
                <w:rFonts w:hint="eastAsia"/>
                <w:szCs w:val="21"/>
              </w:rPr>
              <w:t>5）</w:t>
            </w:r>
          </w:p>
        </w:tc>
        <w:tc>
          <w:tcPr>
            <w:tcW w:w="998" w:type="dxa"/>
            <w:gridSpan w:val="2"/>
            <w:noWrap w:val="0"/>
            <w:vAlign w:val="center"/>
          </w:tcPr>
          <w:p>
            <w:pPr>
              <w:adjustRightInd w:val="0"/>
              <w:snapToGrid w:val="0"/>
              <w:spacing w:line="340" w:lineRule="exact"/>
              <w:ind w:left="113" w:right="113"/>
              <w:jc w:val="center"/>
              <w:rPr>
                <w:rFonts w:hint="eastAsia"/>
                <w:szCs w:val="21"/>
              </w:rPr>
            </w:pPr>
            <w:r>
              <w:rPr>
                <w:rFonts w:hint="eastAsia"/>
                <w:szCs w:val="21"/>
              </w:rPr>
              <w:t>评标价</w:t>
            </w:r>
          </w:p>
        </w:tc>
        <w:tc>
          <w:tcPr>
            <w:tcW w:w="963" w:type="dxa"/>
            <w:noWrap w:val="0"/>
            <w:vAlign w:val="center"/>
          </w:tcPr>
          <w:p>
            <w:pPr>
              <w:snapToGrid w:val="0"/>
              <w:spacing w:line="340" w:lineRule="exact"/>
              <w:ind w:left="113" w:right="113"/>
              <w:jc w:val="center"/>
              <w:rPr>
                <w:sz w:val="24"/>
              </w:rPr>
            </w:pPr>
            <w:r>
              <w:rPr>
                <w:rFonts w:hint="eastAsia"/>
                <w:sz w:val="24"/>
              </w:rPr>
              <w:t>0</w:t>
            </w:r>
            <w:r>
              <w:rPr>
                <w:sz w:val="24"/>
              </w:rPr>
              <w:t>分</w:t>
            </w:r>
          </w:p>
        </w:tc>
        <w:tc>
          <w:tcPr>
            <w:tcW w:w="1889" w:type="dxa"/>
            <w:noWrap w:val="0"/>
            <w:vAlign w:val="center"/>
          </w:tcPr>
          <w:p>
            <w:pPr>
              <w:adjustRightInd w:val="0"/>
              <w:snapToGrid w:val="0"/>
              <w:spacing w:line="340" w:lineRule="exact"/>
              <w:ind w:left="113" w:right="113"/>
              <w:rPr>
                <w:szCs w:val="21"/>
              </w:rPr>
            </w:pPr>
          </w:p>
        </w:tc>
        <w:tc>
          <w:tcPr>
            <w:tcW w:w="565" w:type="dxa"/>
            <w:noWrap w:val="0"/>
            <w:vAlign w:val="center"/>
          </w:tcPr>
          <w:p>
            <w:pPr>
              <w:adjustRightInd w:val="0"/>
              <w:snapToGrid w:val="0"/>
              <w:spacing w:line="340" w:lineRule="exact"/>
              <w:jc w:val="center"/>
              <w:rPr>
                <w:szCs w:val="21"/>
              </w:rPr>
            </w:pPr>
          </w:p>
        </w:tc>
        <w:tc>
          <w:tcPr>
            <w:tcW w:w="1035" w:type="dxa"/>
            <w:noWrap w:val="0"/>
            <w:vAlign w:val="center"/>
          </w:tcPr>
          <w:p>
            <w:pPr>
              <w:adjustRightInd w:val="0"/>
              <w:snapToGrid w:val="0"/>
              <w:spacing w:line="340" w:lineRule="exact"/>
              <w:ind w:left="113" w:right="113"/>
              <w:jc w:val="center"/>
              <w:rPr>
                <w:szCs w:val="21"/>
              </w:rPr>
            </w:pPr>
          </w:p>
        </w:tc>
        <w:tc>
          <w:tcPr>
            <w:tcW w:w="3013" w:type="dxa"/>
            <w:noWrap w:val="0"/>
            <w:vAlign w:val="center"/>
          </w:tcPr>
          <w:p>
            <w:pPr>
              <w:adjustRightInd w:val="0"/>
              <w:snapToGrid w:val="0"/>
              <w:spacing w:line="3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011" w:type="dxa"/>
            <w:noWrap w:val="0"/>
            <w:vAlign w:val="center"/>
          </w:tcPr>
          <w:p>
            <w:pPr>
              <w:adjustRightInd w:val="0"/>
              <w:snapToGrid w:val="0"/>
              <w:spacing w:before="100" w:beforeAutospacing="1" w:after="100" w:afterAutospacing="1"/>
              <w:jc w:val="center"/>
              <w:rPr>
                <w:szCs w:val="21"/>
                <w:u w:val="wave"/>
              </w:rPr>
            </w:pPr>
            <w:r>
              <w:rPr>
                <w:szCs w:val="21"/>
              </w:rPr>
              <w:t>3.4.1</w:t>
            </w:r>
          </w:p>
        </w:tc>
        <w:tc>
          <w:tcPr>
            <w:tcW w:w="1961" w:type="dxa"/>
            <w:gridSpan w:val="3"/>
            <w:noWrap w:val="0"/>
            <w:vAlign w:val="center"/>
          </w:tcPr>
          <w:p>
            <w:pPr>
              <w:adjustRightInd w:val="0"/>
              <w:snapToGrid w:val="0"/>
              <w:spacing w:before="100" w:beforeAutospacing="1" w:after="100" w:afterAutospacing="1"/>
              <w:jc w:val="center"/>
              <w:rPr>
                <w:rFonts w:hint="eastAsia"/>
                <w:szCs w:val="21"/>
              </w:rPr>
            </w:pPr>
            <w:r>
              <w:rPr>
                <w:szCs w:val="21"/>
              </w:rPr>
              <w:t>推荐</w:t>
            </w:r>
          </w:p>
          <w:p>
            <w:pPr>
              <w:adjustRightInd w:val="0"/>
              <w:snapToGrid w:val="0"/>
              <w:spacing w:before="100" w:beforeAutospacing="1" w:after="100" w:afterAutospacing="1"/>
              <w:jc w:val="center"/>
              <w:rPr>
                <w:szCs w:val="21"/>
              </w:rPr>
            </w:pPr>
            <w:r>
              <w:rPr>
                <w:szCs w:val="21"/>
              </w:rPr>
              <w:t>中标候选人</w:t>
            </w:r>
          </w:p>
        </w:tc>
        <w:tc>
          <w:tcPr>
            <w:tcW w:w="6502" w:type="dxa"/>
            <w:gridSpan w:val="4"/>
            <w:noWrap w:val="0"/>
            <w:vAlign w:val="center"/>
          </w:tcPr>
          <w:p>
            <w:pPr>
              <w:autoSpaceDE w:val="0"/>
              <w:autoSpaceDN w:val="0"/>
              <w:adjustRightInd w:val="0"/>
              <w:spacing w:line="360" w:lineRule="exact"/>
              <w:ind w:firstLine="420" w:firstLineChars="200"/>
              <w:rPr>
                <w:rFonts w:hint="eastAsia"/>
                <w:bCs/>
                <w:szCs w:val="21"/>
                <w:lang w:val="zh-CN"/>
              </w:rPr>
            </w:pPr>
            <w:r>
              <w:rPr>
                <w:bCs/>
                <w:szCs w:val="21"/>
                <w:lang w:val="zh-CN"/>
              </w:rPr>
              <w:t>评标委员会</w:t>
            </w:r>
            <w:r>
              <w:rPr>
                <w:rFonts w:hint="eastAsia"/>
                <w:bCs/>
                <w:szCs w:val="21"/>
                <w:lang w:val="zh-CN"/>
              </w:rPr>
              <w:t>根据</w:t>
            </w:r>
            <w:r>
              <w:rPr>
                <w:bCs/>
                <w:szCs w:val="21"/>
                <w:lang w:val="zh-CN"/>
              </w:rPr>
              <w:t>评标办法按其评标价由</w:t>
            </w:r>
            <w:r>
              <w:rPr>
                <w:rFonts w:hint="eastAsia"/>
                <w:bCs/>
                <w:szCs w:val="21"/>
                <w:lang w:val="zh-CN"/>
              </w:rPr>
              <w:t>低</w:t>
            </w:r>
            <w:r>
              <w:rPr>
                <w:bCs/>
                <w:szCs w:val="21"/>
                <w:lang w:val="zh-CN"/>
              </w:rPr>
              <w:t>到</w:t>
            </w:r>
            <w:r>
              <w:rPr>
                <w:rFonts w:hint="eastAsia"/>
                <w:bCs/>
                <w:szCs w:val="21"/>
                <w:lang w:val="zh-CN"/>
              </w:rPr>
              <w:t>高</w:t>
            </w:r>
            <w:r>
              <w:rPr>
                <w:bCs/>
                <w:szCs w:val="21"/>
                <w:lang w:val="zh-CN"/>
              </w:rPr>
              <w:t>的顺序推荐中标候选人。</w:t>
            </w:r>
          </w:p>
          <w:p>
            <w:pPr>
              <w:adjustRightInd w:val="0"/>
              <w:snapToGrid w:val="0"/>
              <w:spacing w:before="46" w:beforeLines="15" w:after="46" w:afterLines="15" w:line="340" w:lineRule="exact"/>
              <w:ind w:firstLine="420" w:firstLineChars="200"/>
              <w:rPr>
                <w:rFonts w:hint="eastAsia" w:ascii="宋体" w:hAnsi="宋体"/>
                <w:szCs w:val="21"/>
              </w:rPr>
            </w:pPr>
            <w:r>
              <w:rPr>
                <w:rFonts w:ascii="宋体" w:hAnsi="宋体"/>
                <w:szCs w:val="21"/>
              </w:rPr>
              <w:t>如同一标段出现多名投标人的</w:t>
            </w:r>
            <w:r>
              <w:rPr>
                <w:rFonts w:hint="eastAsia" w:ascii="宋体" w:hAnsi="宋体"/>
              </w:rPr>
              <w:t>评标</w:t>
            </w:r>
            <w:r>
              <w:rPr>
                <w:rFonts w:ascii="宋体" w:hAnsi="宋体"/>
              </w:rPr>
              <w:t>价相同，则以第一</w:t>
            </w:r>
            <w:r>
              <w:rPr>
                <w:rFonts w:hint="eastAsia" w:ascii="宋体" w:hAnsi="宋体"/>
              </w:rPr>
              <w:t>个</w:t>
            </w:r>
            <w:r>
              <w:rPr>
                <w:rFonts w:ascii="宋体" w:hAnsi="宋体"/>
              </w:rPr>
              <w:t>信封</w:t>
            </w:r>
            <w:r>
              <w:rPr>
                <w:rFonts w:hint="eastAsia" w:ascii="宋体" w:hAnsi="宋体"/>
              </w:rPr>
              <w:t>（商务及技术文件）得</w:t>
            </w:r>
            <w:r>
              <w:rPr>
                <w:rFonts w:ascii="宋体" w:hAnsi="宋体"/>
              </w:rPr>
              <w:t>分高者排序在先</w:t>
            </w:r>
            <w:r>
              <w:rPr>
                <w:rFonts w:hint="eastAsia" w:ascii="宋体" w:hAnsi="宋体"/>
              </w:rPr>
              <w:t>；</w:t>
            </w:r>
          </w:p>
          <w:p>
            <w:pPr>
              <w:adjustRightInd w:val="0"/>
              <w:snapToGrid w:val="0"/>
              <w:spacing w:before="46" w:beforeLines="15" w:after="46" w:afterLines="15" w:line="360" w:lineRule="exact"/>
              <w:ind w:firstLine="420" w:firstLineChars="200"/>
              <w:rPr>
                <w:szCs w:val="21"/>
              </w:rPr>
            </w:pPr>
            <w:r>
              <w:rPr>
                <w:szCs w:val="21"/>
              </w:rPr>
              <w:t>如同一标段出现多名投标人的</w:t>
            </w:r>
            <w:r>
              <w:rPr>
                <w:rFonts w:hint="eastAsia" w:hAnsi="宋体"/>
              </w:rPr>
              <w:t>第一信封（商务及技术文件）</w:t>
            </w:r>
            <w:r>
              <w:rPr>
                <w:rFonts w:hint="eastAsia"/>
                <w:szCs w:val="21"/>
              </w:rPr>
              <w:t>综合得分</w:t>
            </w:r>
            <w:r>
              <w:rPr>
                <w:szCs w:val="21"/>
              </w:rPr>
              <w:t>相等时，则按照以下所列顺序在前的优先：</w:t>
            </w:r>
          </w:p>
          <w:p>
            <w:pPr>
              <w:adjustRightInd w:val="0"/>
              <w:snapToGrid w:val="0"/>
              <w:spacing w:before="62" w:beforeLines="20" w:after="62" w:afterLines="20" w:line="360" w:lineRule="exact"/>
              <w:ind w:firstLine="630" w:firstLineChars="300"/>
              <w:rPr>
                <w:rFonts w:ascii="宋体"/>
              </w:rPr>
            </w:pPr>
            <w:r>
              <w:rPr>
                <w:rFonts w:ascii="宋体" w:hAnsi="宋体"/>
              </w:rPr>
              <w:t>a</w:t>
            </w:r>
            <w:r>
              <w:rPr>
                <w:rFonts w:ascii="宋体"/>
              </w:rPr>
              <w:t>.</w:t>
            </w:r>
            <w:r>
              <w:rPr>
                <w:rFonts w:hint="eastAsia" w:ascii="宋体" w:hAnsi="宋体"/>
              </w:rPr>
              <w:t>施工组织设计得分较高者；</w:t>
            </w:r>
          </w:p>
          <w:p>
            <w:pPr>
              <w:adjustRightInd w:val="0"/>
              <w:snapToGrid w:val="0"/>
              <w:spacing w:before="62" w:beforeLines="20" w:after="62" w:afterLines="20" w:line="360" w:lineRule="exact"/>
              <w:ind w:firstLine="630" w:firstLineChars="300"/>
              <w:rPr>
                <w:rFonts w:ascii="宋体"/>
              </w:rPr>
            </w:pPr>
            <w:r>
              <w:rPr>
                <w:rFonts w:ascii="宋体" w:hAnsi="宋体"/>
              </w:rPr>
              <w:t>b</w:t>
            </w:r>
            <w:r>
              <w:rPr>
                <w:rFonts w:ascii="宋体"/>
              </w:rPr>
              <w:t>.</w:t>
            </w:r>
            <w:r>
              <w:rPr>
                <w:rFonts w:hint="eastAsia" w:ascii="宋体" w:hAnsi="宋体"/>
              </w:rPr>
              <w:t>履约信誉得分较高者；</w:t>
            </w:r>
          </w:p>
          <w:p>
            <w:pPr>
              <w:adjustRightInd w:val="0"/>
              <w:snapToGrid w:val="0"/>
              <w:spacing w:before="62" w:beforeLines="20" w:after="62" w:afterLines="20" w:line="360" w:lineRule="exact"/>
              <w:ind w:firstLine="630" w:firstLineChars="300"/>
              <w:rPr>
                <w:rFonts w:ascii="宋体"/>
              </w:rPr>
            </w:pPr>
            <w:r>
              <w:rPr>
                <w:rFonts w:ascii="宋体" w:hAnsi="宋体"/>
              </w:rPr>
              <w:t>c</w:t>
            </w:r>
            <w:r>
              <w:rPr>
                <w:rFonts w:ascii="宋体"/>
              </w:rPr>
              <w:t>.</w:t>
            </w:r>
            <w:r>
              <w:rPr>
                <w:rFonts w:hint="eastAsia" w:ascii="宋体" w:hAnsi="宋体"/>
              </w:rPr>
              <w:t>主要人员得分较高者；</w:t>
            </w:r>
          </w:p>
          <w:p>
            <w:pPr>
              <w:adjustRightInd w:val="0"/>
              <w:snapToGrid w:val="0"/>
              <w:spacing w:before="62" w:beforeLines="20" w:after="62" w:afterLines="20" w:line="360" w:lineRule="exact"/>
              <w:ind w:firstLine="630" w:firstLineChars="300"/>
              <w:rPr>
                <w:rFonts w:ascii="宋体"/>
              </w:rPr>
            </w:pPr>
            <w:r>
              <w:rPr>
                <w:rFonts w:ascii="宋体" w:hAnsi="宋体"/>
              </w:rPr>
              <w:t>d</w:t>
            </w:r>
            <w:r>
              <w:rPr>
                <w:rFonts w:ascii="宋体"/>
              </w:rPr>
              <w:t>.</w:t>
            </w:r>
            <w:r>
              <w:rPr>
                <w:rFonts w:hint="eastAsia" w:ascii="宋体" w:hAnsi="宋体"/>
              </w:rPr>
              <w:t>技术能力得分较高者。</w:t>
            </w:r>
          </w:p>
          <w:p>
            <w:pPr>
              <w:autoSpaceDE w:val="0"/>
              <w:autoSpaceDN w:val="0"/>
              <w:adjustRightInd w:val="0"/>
              <w:spacing w:line="360" w:lineRule="exact"/>
              <w:ind w:firstLine="420" w:firstLineChars="200"/>
              <w:rPr>
                <w:rFonts w:hint="eastAsia"/>
                <w:bCs/>
                <w:szCs w:val="21"/>
                <w:lang w:val="zh-CN"/>
              </w:rPr>
            </w:pPr>
            <w:r>
              <w:rPr>
                <w:szCs w:val="21"/>
              </w:rPr>
              <w:t>若以上各项评分因素得分都相等，则通过评委会投票表决，推荐票数多的投标人评分排序在先。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9474" w:type="dxa"/>
            <w:gridSpan w:val="8"/>
            <w:noWrap w:val="0"/>
            <w:vAlign w:val="center"/>
          </w:tcPr>
          <w:p>
            <w:pPr>
              <w:autoSpaceDE w:val="0"/>
              <w:autoSpaceDN w:val="0"/>
              <w:adjustRightInd w:val="0"/>
              <w:spacing w:line="360" w:lineRule="auto"/>
              <w:rPr>
                <w:rFonts w:hint="eastAsia"/>
                <w:bCs/>
                <w:szCs w:val="21"/>
                <w:lang w:val="zh-CN"/>
              </w:rPr>
            </w:pPr>
            <w:r>
              <w:rPr>
                <w:bCs/>
                <w:szCs w:val="21"/>
                <w:lang w:val="zh-CN"/>
              </w:rPr>
              <w:t xml:space="preserve">需要补充的其他内容： </w:t>
            </w:r>
          </w:p>
          <w:p>
            <w:pPr>
              <w:pStyle w:val="4"/>
              <w:pBdr>
                <w:bottom w:val="none" w:color="auto" w:sz="0" w:space="0"/>
              </w:pBdr>
              <w:tabs>
                <w:tab w:val="left" w:pos="315"/>
                <w:tab w:val="left" w:pos="525"/>
                <w:tab w:val="left" w:pos="630"/>
                <w:tab w:val="left" w:pos="945"/>
                <w:tab w:val="clear" w:pos="4153"/>
                <w:tab w:val="clear" w:pos="8306"/>
              </w:tabs>
              <w:autoSpaceDE w:val="0"/>
              <w:autoSpaceDN w:val="0"/>
              <w:adjustRightInd w:val="0"/>
              <w:spacing w:line="360" w:lineRule="auto"/>
              <w:ind w:left="105" w:leftChars="50" w:firstLine="420" w:firstLineChars="200"/>
              <w:jc w:val="both"/>
              <w:rPr>
                <w:rFonts w:hint="eastAsia" w:hAnsi="Verdana"/>
                <w:sz w:val="21"/>
                <w:szCs w:val="21"/>
                <w:shd w:val="clear" w:color="auto" w:fill="FFFFFF"/>
              </w:rPr>
            </w:pPr>
            <w:r>
              <w:rPr>
                <w:rFonts w:hAnsi="Verdana"/>
                <w:sz w:val="21"/>
                <w:szCs w:val="21"/>
                <w:shd w:val="clear" w:color="auto" w:fill="FFFFFF"/>
              </w:rPr>
              <w:t>评标委员会对投标文件进行评审后，因有效投标不足3个使得投标明显缺乏竞争的，可以否决全部投标。未否决全部投标的，评标委员会应当在评标报告中阐明理由并推荐中标候选人。</w:t>
            </w:r>
          </w:p>
          <w:p>
            <w:pPr>
              <w:pStyle w:val="4"/>
              <w:pBdr>
                <w:bottom w:val="none" w:color="auto" w:sz="0" w:space="0"/>
              </w:pBdr>
              <w:tabs>
                <w:tab w:val="left" w:pos="315"/>
                <w:tab w:val="left" w:pos="525"/>
                <w:tab w:val="left" w:pos="630"/>
                <w:tab w:val="left" w:pos="945"/>
                <w:tab w:val="clear" w:pos="4153"/>
                <w:tab w:val="clear" w:pos="8306"/>
              </w:tabs>
              <w:autoSpaceDE w:val="0"/>
              <w:autoSpaceDN w:val="0"/>
              <w:adjustRightInd w:val="0"/>
              <w:spacing w:line="360" w:lineRule="auto"/>
              <w:ind w:left="105" w:leftChars="50" w:firstLine="420" w:firstLineChars="200"/>
              <w:jc w:val="both"/>
              <w:rPr>
                <w:rFonts w:hAnsi="Verdana"/>
                <w:sz w:val="21"/>
                <w:szCs w:val="21"/>
                <w:shd w:val="clear" w:color="auto" w:fill="FFFFFF"/>
              </w:rPr>
            </w:pPr>
            <w:r>
              <w:rPr>
                <w:rFonts w:hAnsi="Verdana"/>
                <w:sz w:val="21"/>
                <w:szCs w:val="21"/>
                <w:shd w:val="clear" w:color="auto" w:fill="FFFFFF"/>
              </w:rPr>
              <w:t>投标文件按照招标文件规定采用双信封形式密封的，通过第一</w:t>
            </w:r>
            <w:r>
              <w:rPr>
                <w:rFonts w:hint="eastAsia" w:hAnsi="Verdana"/>
                <w:sz w:val="21"/>
                <w:szCs w:val="21"/>
                <w:shd w:val="clear" w:color="auto" w:fill="FFFFFF"/>
              </w:rPr>
              <w:t>个</w:t>
            </w:r>
            <w:r>
              <w:rPr>
                <w:rFonts w:hAnsi="Verdana"/>
                <w:sz w:val="21"/>
                <w:szCs w:val="21"/>
                <w:shd w:val="clear" w:color="auto" w:fill="FFFFFF"/>
              </w:rPr>
              <w:t>信封商务和技术文件评审的投标人在3个以上的，招标人应当按照规定的程序进行第二</w:t>
            </w:r>
            <w:r>
              <w:rPr>
                <w:rFonts w:hint="eastAsia" w:hAnsi="Verdana"/>
                <w:sz w:val="21"/>
                <w:szCs w:val="21"/>
                <w:shd w:val="clear" w:color="auto" w:fill="FFFFFF"/>
              </w:rPr>
              <w:t>个</w:t>
            </w:r>
            <w:r>
              <w:rPr>
                <w:rFonts w:hAnsi="Verdana"/>
                <w:sz w:val="21"/>
                <w:szCs w:val="21"/>
                <w:shd w:val="clear" w:color="auto" w:fill="FFFFFF"/>
              </w:rPr>
              <w:t>信封</w:t>
            </w:r>
            <w:r>
              <w:rPr>
                <w:rFonts w:hint="eastAsia" w:hAnsi="Verdana"/>
                <w:sz w:val="21"/>
                <w:szCs w:val="21"/>
                <w:shd w:val="clear" w:color="auto" w:fill="FFFFFF"/>
              </w:rPr>
              <w:t>报价文件</w:t>
            </w:r>
            <w:r>
              <w:rPr>
                <w:rFonts w:hAnsi="Verdana"/>
                <w:sz w:val="21"/>
                <w:szCs w:val="21"/>
                <w:shd w:val="clear" w:color="auto" w:fill="FFFFFF"/>
              </w:rPr>
              <w:t>开标；在对</w:t>
            </w:r>
            <w:r>
              <w:rPr>
                <w:rFonts w:hint="eastAsia" w:hAnsi="Verdana"/>
                <w:sz w:val="21"/>
                <w:szCs w:val="21"/>
                <w:shd w:val="clear" w:color="auto" w:fill="FFFFFF"/>
              </w:rPr>
              <w:t>报价文件</w:t>
            </w:r>
            <w:r>
              <w:rPr>
                <w:rFonts w:hAnsi="Verdana"/>
                <w:sz w:val="21"/>
                <w:szCs w:val="21"/>
                <w:shd w:val="clear" w:color="auto" w:fill="FFFFFF"/>
              </w:rPr>
              <w:t>进行评审后，有效投标不足3个的，评标委员会应当按照本条第一款规定执行。</w:t>
            </w:r>
          </w:p>
        </w:tc>
      </w:tr>
    </w:tbl>
    <w:p>
      <w:pPr>
        <w:pStyle w:val="15"/>
        <w:tabs>
          <w:tab w:val="left" w:pos="426"/>
        </w:tabs>
        <w:spacing w:line="420" w:lineRule="exact"/>
        <w:jc w:val="left"/>
        <w:outlineLvl w:val="2"/>
        <w:rPr>
          <w:rFonts w:ascii="宋体"/>
          <w:b w:val="0"/>
        </w:rPr>
      </w:pPr>
      <w:r>
        <w:rPr>
          <w:rFonts w:ascii="宋体" w:hAnsi="宋体"/>
          <w:b w:val="0"/>
        </w:rPr>
        <w:t>6.</w:t>
      </w:r>
      <w:r>
        <w:rPr>
          <w:rFonts w:hint="eastAsia" w:ascii="宋体" w:hAnsi="宋体"/>
          <w:b w:val="0"/>
        </w:rPr>
        <w:t>公开时间</w:t>
      </w:r>
    </w:p>
    <w:p>
      <w:pPr>
        <w:adjustRightInd w:val="0"/>
        <w:snapToGrid w:val="0"/>
        <w:rPr>
          <w:rFonts w:hint="eastAsia" w:ascii="宋体" w:eastAsiaTheme="minorEastAsia"/>
          <w:sz w:val="24"/>
          <w:highlight w:val="none"/>
          <w:lang w:eastAsia="zh-CN"/>
        </w:rPr>
      </w:pPr>
      <w:r>
        <w:rPr>
          <w:rFonts w:hint="eastAsia" w:ascii="宋体" w:hAnsi="宋体"/>
          <w:sz w:val="24"/>
          <w:highlight w:val="none"/>
        </w:rPr>
        <w:t>本次招标文件关键内容信息公开时间至</w:t>
      </w:r>
      <w:r>
        <w:rPr>
          <w:rFonts w:hint="eastAsia" w:ascii="宋体" w:hAnsi="宋体"/>
          <w:sz w:val="24"/>
          <w:highlight w:val="none"/>
          <w:lang w:val="en-US" w:eastAsia="zh-CN"/>
        </w:rPr>
        <w:t>2019年10月18日</w:t>
      </w:r>
      <w:r>
        <w:rPr>
          <w:rFonts w:ascii="宋体" w:hAnsi="宋体"/>
          <w:sz w:val="24"/>
          <w:highlight w:val="none"/>
        </w:rPr>
        <w:t>24</w:t>
      </w:r>
      <w:r>
        <w:rPr>
          <w:rFonts w:hint="eastAsia" w:ascii="宋体" w:hAnsi="宋体"/>
          <w:sz w:val="24"/>
          <w:highlight w:val="none"/>
        </w:rPr>
        <w:t>时</w:t>
      </w:r>
      <w:r>
        <w:rPr>
          <w:rFonts w:ascii="宋体" w:hAnsi="宋体"/>
          <w:sz w:val="24"/>
          <w:highlight w:val="none"/>
        </w:rPr>
        <w:t>00</w:t>
      </w:r>
      <w:r>
        <w:rPr>
          <w:rFonts w:hint="eastAsia" w:ascii="宋体" w:hAnsi="宋体"/>
          <w:sz w:val="24"/>
          <w:highlight w:val="none"/>
        </w:rPr>
        <w:t>分结束</w:t>
      </w:r>
      <w:r>
        <w:rPr>
          <w:rFonts w:hint="eastAsia" w:ascii="宋体" w:hAnsi="宋体"/>
          <w:sz w:val="24"/>
          <w:highlight w:val="none"/>
          <w:lang w:eastAsia="zh-CN"/>
        </w:rPr>
        <w:t>。</w:t>
      </w:r>
    </w:p>
    <w:p>
      <w:pPr>
        <w:pStyle w:val="15"/>
        <w:tabs>
          <w:tab w:val="left" w:pos="426"/>
        </w:tabs>
        <w:spacing w:line="276" w:lineRule="auto"/>
        <w:jc w:val="left"/>
        <w:outlineLvl w:val="2"/>
        <w:rPr>
          <w:b w:val="0"/>
        </w:rPr>
      </w:pPr>
      <w:bookmarkStart w:id="33" w:name="_Toc361838108"/>
      <w:bookmarkStart w:id="34" w:name="_Toc19608025"/>
      <w:bookmarkStart w:id="35" w:name="_Toc257655333"/>
      <w:bookmarkStart w:id="36" w:name="_Toc356741794"/>
      <w:bookmarkStart w:id="37" w:name="_Toc24759"/>
      <w:bookmarkStart w:id="38" w:name="_Toc508718211"/>
      <w:bookmarkStart w:id="39" w:name="_Toc483222551"/>
      <w:r>
        <w:rPr>
          <w:rFonts w:hint="eastAsia" w:ascii="黑体" w:hAnsi="黑体" w:eastAsia="黑体"/>
          <w:b w:val="0"/>
        </w:rPr>
        <w:t>7.联系方式</w:t>
      </w:r>
      <w:bookmarkEnd w:id="33"/>
      <w:bookmarkEnd w:id="34"/>
      <w:bookmarkEnd w:id="35"/>
      <w:bookmarkEnd w:id="36"/>
      <w:bookmarkEnd w:id="37"/>
      <w:bookmarkEnd w:id="38"/>
      <w:bookmarkEnd w:id="39"/>
    </w:p>
    <w:tbl>
      <w:tblPr>
        <w:tblStyle w:val="7"/>
        <w:tblW w:w="9896" w:type="dxa"/>
        <w:tblInd w:w="0" w:type="dxa"/>
        <w:tblLayout w:type="fixed"/>
        <w:tblCellMar>
          <w:top w:w="0" w:type="dxa"/>
          <w:left w:w="108" w:type="dxa"/>
          <w:bottom w:w="0" w:type="dxa"/>
          <w:right w:w="108" w:type="dxa"/>
        </w:tblCellMar>
      </w:tblPr>
      <w:tblGrid>
        <w:gridCol w:w="4644"/>
        <w:gridCol w:w="5252"/>
      </w:tblGrid>
      <w:tr>
        <w:tblPrEx>
          <w:tblLayout w:type="fixed"/>
          <w:tblCellMar>
            <w:top w:w="0" w:type="dxa"/>
            <w:left w:w="108" w:type="dxa"/>
            <w:bottom w:w="0" w:type="dxa"/>
            <w:right w:w="108" w:type="dxa"/>
          </w:tblCellMar>
        </w:tblPrEx>
        <w:trPr>
          <w:trHeight w:val="170" w:hRule="atLeast"/>
        </w:trPr>
        <w:tc>
          <w:tcPr>
            <w:tcW w:w="4644" w:type="dxa"/>
            <w:tcBorders>
              <w:top w:val="nil"/>
              <w:left w:val="nil"/>
              <w:bottom w:val="nil"/>
              <w:right w:val="nil"/>
            </w:tcBorders>
            <w:noWrap w:val="0"/>
            <w:vAlign w:val="top"/>
          </w:tcPr>
          <w:p>
            <w:pPr>
              <w:ind w:left="1050" w:hanging="1050" w:hangingChars="500"/>
              <w:rPr>
                <w:rFonts w:ascii="宋体" w:hAnsi="宋体" w:cs="宋体"/>
                <w:szCs w:val="21"/>
              </w:rPr>
            </w:pPr>
            <w:r>
              <w:rPr>
                <w:rFonts w:hint="eastAsia" w:ascii="宋体" w:hAnsi="宋体" w:cs="宋体"/>
                <w:szCs w:val="21"/>
              </w:rPr>
              <w:t>招 标 人:</w:t>
            </w:r>
            <w:r>
              <w:rPr>
                <w:rFonts w:hint="eastAsia" w:ascii="黑体" w:hAnsi="黑体" w:eastAsia="黑体"/>
                <w:b/>
                <w:szCs w:val="21"/>
              </w:rPr>
              <w:t xml:space="preserve"> </w:t>
            </w:r>
            <w:r>
              <w:rPr>
                <w:rFonts w:hint="eastAsia" w:ascii="宋体" w:hAnsi="宋体" w:cs="宋体"/>
                <w:b/>
                <w:szCs w:val="21"/>
              </w:rPr>
              <w:t>白山市交通运输开发投资有限公司</w:t>
            </w:r>
          </w:p>
        </w:tc>
        <w:tc>
          <w:tcPr>
            <w:tcW w:w="5252" w:type="dxa"/>
            <w:tcBorders>
              <w:top w:val="nil"/>
              <w:left w:val="nil"/>
              <w:bottom w:val="nil"/>
              <w:right w:val="nil"/>
            </w:tcBorders>
            <w:noWrap w:val="0"/>
            <w:vAlign w:val="top"/>
          </w:tcPr>
          <w:p>
            <w:pPr>
              <w:autoSpaceDE w:val="0"/>
              <w:autoSpaceDN w:val="0"/>
              <w:adjustRightInd w:val="0"/>
              <w:rPr>
                <w:rFonts w:ascii="宋体" w:hAnsi="宋体" w:cs="宋体"/>
                <w:szCs w:val="21"/>
              </w:rPr>
            </w:pPr>
            <w:r>
              <w:rPr>
                <w:rFonts w:hint="eastAsia" w:ascii="宋体" w:hAnsi="宋体" w:cs="宋体"/>
                <w:szCs w:val="21"/>
              </w:rPr>
              <w:t>招标代理机构:</w:t>
            </w:r>
            <w:r>
              <w:rPr>
                <w:rFonts w:hint="eastAsia" w:ascii="宋体" w:hAnsi="宋体" w:cs="宋体"/>
                <w:b/>
                <w:szCs w:val="21"/>
              </w:rPr>
              <w:t>吉林省吉润工程咨询有限公司</w:t>
            </w:r>
          </w:p>
        </w:tc>
      </w:tr>
      <w:tr>
        <w:tblPrEx>
          <w:tblLayout w:type="fixed"/>
          <w:tblCellMar>
            <w:top w:w="0" w:type="dxa"/>
            <w:left w:w="108" w:type="dxa"/>
            <w:bottom w:w="0" w:type="dxa"/>
            <w:right w:w="108" w:type="dxa"/>
          </w:tblCellMar>
        </w:tblPrEx>
        <w:trPr>
          <w:trHeight w:val="157" w:hRule="atLeast"/>
        </w:trPr>
        <w:tc>
          <w:tcPr>
            <w:tcW w:w="4644" w:type="dxa"/>
            <w:tcBorders>
              <w:top w:val="nil"/>
              <w:left w:val="nil"/>
              <w:bottom w:val="nil"/>
              <w:right w:val="nil"/>
            </w:tcBorders>
            <w:noWrap w:val="0"/>
            <w:vAlign w:val="top"/>
          </w:tcPr>
          <w:p>
            <w:pPr>
              <w:ind w:left="1050" w:hanging="1050" w:hangingChars="500"/>
              <w:rPr>
                <w:rFonts w:ascii="宋体" w:hAnsi="宋体" w:cs="宋体"/>
                <w:szCs w:val="21"/>
              </w:rPr>
            </w:pPr>
            <w:r>
              <w:rPr>
                <w:rFonts w:hint="eastAsia" w:ascii="宋体" w:hAnsi="宋体" w:cs="宋体"/>
                <w:szCs w:val="21"/>
              </w:rPr>
              <w:t>地    址:</w:t>
            </w:r>
            <w:r>
              <w:rPr>
                <w:rFonts w:ascii="宋体" w:hAnsi="宋体"/>
                <w:szCs w:val="21"/>
              </w:rPr>
              <w:t xml:space="preserve"> </w:t>
            </w:r>
            <w:r>
              <w:rPr>
                <w:rFonts w:ascii="宋体" w:hAnsi="宋体" w:cs="宋体"/>
                <w:szCs w:val="21"/>
              </w:rPr>
              <w:t>白山市</w:t>
            </w:r>
            <w:r>
              <w:rPr>
                <w:rFonts w:hint="eastAsia" w:ascii="宋体" w:hAnsi="宋体" w:cs="宋体"/>
                <w:szCs w:val="21"/>
              </w:rPr>
              <w:t>浑江区</w:t>
            </w:r>
            <w:r>
              <w:rPr>
                <w:rFonts w:ascii="宋体" w:hAnsi="宋体" w:cs="宋体"/>
                <w:szCs w:val="21"/>
              </w:rPr>
              <w:t>北安大街尚高一品小区</w:t>
            </w:r>
            <w:r>
              <w:rPr>
                <w:rFonts w:hint="eastAsia" w:ascii="宋体" w:hAnsi="宋体" w:cs="宋体"/>
                <w:szCs w:val="21"/>
              </w:rPr>
              <w:t>10号楼二层</w:t>
            </w:r>
          </w:p>
        </w:tc>
        <w:tc>
          <w:tcPr>
            <w:tcW w:w="5252" w:type="dxa"/>
            <w:tcBorders>
              <w:top w:val="nil"/>
              <w:left w:val="nil"/>
              <w:bottom w:val="nil"/>
              <w:right w:val="nil"/>
            </w:tcBorders>
            <w:noWrap w:val="0"/>
            <w:vAlign w:val="top"/>
          </w:tcPr>
          <w:p>
            <w:pPr>
              <w:autoSpaceDE w:val="0"/>
              <w:autoSpaceDN w:val="0"/>
              <w:adjustRightInd w:val="0"/>
              <w:ind w:left="1260" w:hanging="1260" w:hangingChars="600"/>
              <w:rPr>
                <w:rFonts w:ascii="宋体" w:hAnsi="宋体" w:cs="宋体"/>
                <w:szCs w:val="21"/>
              </w:rPr>
            </w:pPr>
            <w:r>
              <w:rPr>
                <w:rFonts w:hint="eastAsia" w:ascii="宋体" w:hAnsi="宋体" w:cs="宋体"/>
                <w:szCs w:val="21"/>
              </w:rPr>
              <w:t>地       址:长春市高新区光谷大街999号光谷大厦</w:t>
            </w:r>
            <w:r>
              <w:rPr>
                <w:rFonts w:hint="eastAsia" w:ascii="宋体" w:hAnsi="宋体" w:cs="宋体"/>
                <w:szCs w:val="21"/>
                <w:lang w:val="en-US" w:eastAsia="zh-CN"/>
              </w:rPr>
              <w:t xml:space="preserve">  </w:t>
            </w:r>
            <w:r>
              <w:rPr>
                <w:rFonts w:hint="eastAsia" w:ascii="宋体" w:hAnsi="宋体" w:cs="宋体"/>
                <w:szCs w:val="21"/>
              </w:rPr>
              <w:t>5楼</w:t>
            </w:r>
          </w:p>
        </w:tc>
      </w:tr>
      <w:tr>
        <w:tblPrEx>
          <w:tblLayout w:type="fixed"/>
          <w:tblCellMar>
            <w:top w:w="0" w:type="dxa"/>
            <w:left w:w="108" w:type="dxa"/>
            <w:bottom w:w="0" w:type="dxa"/>
            <w:right w:w="108" w:type="dxa"/>
          </w:tblCellMar>
        </w:tblPrEx>
        <w:trPr>
          <w:trHeight w:val="79" w:hRule="atLeast"/>
        </w:trPr>
        <w:tc>
          <w:tcPr>
            <w:tcW w:w="4644" w:type="dxa"/>
            <w:tcBorders>
              <w:top w:val="nil"/>
              <w:left w:val="nil"/>
              <w:bottom w:val="nil"/>
              <w:right w:val="nil"/>
            </w:tcBorders>
            <w:noWrap w:val="0"/>
            <w:vAlign w:val="top"/>
          </w:tcPr>
          <w:p>
            <w:pPr>
              <w:rPr>
                <w:rFonts w:ascii="宋体" w:hAnsi="宋体" w:cs="宋体"/>
                <w:szCs w:val="21"/>
              </w:rPr>
            </w:pPr>
            <w:r>
              <w:rPr>
                <w:rFonts w:hint="eastAsia" w:ascii="宋体" w:hAnsi="宋体" w:cs="宋体"/>
                <w:szCs w:val="21"/>
              </w:rPr>
              <w:t>联 系 人:李奕霖</w:t>
            </w:r>
          </w:p>
        </w:tc>
        <w:tc>
          <w:tcPr>
            <w:tcW w:w="5252" w:type="dxa"/>
            <w:tcBorders>
              <w:top w:val="nil"/>
              <w:left w:val="nil"/>
              <w:bottom w:val="nil"/>
              <w:right w:val="nil"/>
            </w:tcBorders>
            <w:noWrap w:val="0"/>
            <w:vAlign w:val="top"/>
          </w:tcPr>
          <w:p>
            <w:pPr>
              <w:autoSpaceDE w:val="0"/>
              <w:autoSpaceDN w:val="0"/>
              <w:adjustRightInd w:val="0"/>
              <w:rPr>
                <w:rFonts w:hint="eastAsia" w:ascii="宋体" w:hAnsi="宋体" w:cs="宋体"/>
                <w:szCs w:val="21"/>
              </w:rPr>
            </w:pPr>
            <w:r>
              <w:rPr>
                <w:rFonts w:hint="eastAsia" w:ascii="宋体" w:hAnsi="宋体" w:cs="宋体"/>
                <w:szCs w:val="21"/>
              </w:rPr>
              <w:t>联  系  人:佟心</w:t>
            </w:r>
          </w:p>
        </w:tc>
      </w:tr>
      <w:tr>
        <w:tblPrEx>
          <w:tblLayout w:type="fixed"/>
          <w:tblCellMar>
            <w:top w:w="0" w:type="dxa"/>
            <w:left w:w="108" w:type="dxa"/>
            <w:bottom w:w="0" w:type="dxa"/>
            <w:right w:w="108" w:type="dxa"/>
          </w:tblCellMar>
        </w:tblPrEx>
        <w:trPr>
          <w:trHeight w:val="96" w:hRule="atLeast"/>
        </w:trPr>
        <w:tc>
          <w:tcPr>
            <w:tcW w:w="4644" w:type="dxa"/>
            <w:tcBorders>
              <w:top w:val="nil"/>
              <w:left w:val="nil"/>
              <w:bottom w:val="nil"/>
              <w:right w:val="nil"/>
            </w:tcBorders>
            <w:noWrap w:val="0"/>
            <w:vAlign w:val="top"/>
          </w:tcPr>
          <w:p>
            <w:pPr>
              <w:rPr>
                <w:rFonts w:ascii="宋体" w:hAnsi="宋体" w:cs="宋体"/>
                <w:szCs w:val="21"/>
              </w:rPr>
            </w:pPr>
            <w:r>
              <w:rPr>
                <w:rFonts w:hint="eastAsia" w:ascii="宋体" w:hAnsi="宋体" w:cs="宋体"/>
                <w:szCs w:val="21"/>
              </w:rPr>
              <w:t>电    话:18643928833</w:t>
            </w:r>
          </w:p>
        </w:tc>
        <w:tc>
          <w:tcPr>
            <w:tcW w:w="5252" w:type="dxa"/>
            <w:tcBorders>
              <w:top w:val="nil"/>
              <w:left w:val="nil"/>
              <w:bottom w:val="nil"/>
              <w:right w:val="nil"/>
            </w:tcBorders>
            <w:noWrap w:val="0"/>
            <w:vAlign w:val="top"/>
          </w:tcPr>
          <w:p>
            <w:pPr>
              <w:autoSpaceDE w:val="0"/>
              <w:autoSpaceDN w:val="0"/>
              <w:adjustRightInd w:val="0"/>
              <w:rPr>
                <w:rFonts w:ascii="宋体" w:hAnsi="宋体" w:cs="宋体"/>
                <w:szCs w:val="21"/>
              </w:rPr>
            </w:pPr>
            <w:r>
              <w:rPr>
                <w:rFonts w:hint="eastAsia" w:ascii="宋体" w:hAnsi="宋体" w:cs="宋体"/>
                <w:szCs w:val="21"/>
              </w:rPr>
              <w:t>电      话:0431-89271988</w:t>
            </w:r>
          </w:p>
        </w:tc>
      </w:tr>
    </w:tbl>
    <w:p>
      <w:pPr>
        <w:spacing w:line="276" w:lineRule="auto"/>
        <w:ind w:firstLine="435"/>
        <w:jc w:val="right"/>
        <w:rPr>
          <w:rFonts w:hint="eastAsia" w:ascii="宋体" w:hAnsi="宋体"/>
          <w:szCs w:val="21"/>
        </w:rPr>
      </w:pPr>
    </w:p>
    <w:p>
      <w:pPr>
        <w:spacing w:line="276" w:lineRule="auto"/>
        <w:ind w:firstLine="435"/>
        <w:jc w:val="right"/>
      </w:pPr>
      <w:r>
        <w:rPr>
          <w:rFonts w:hint="eastAsia" w:ascii="宋体" w:hAnsi="宋体"/>
          <w:szCs w:val="21"/>
        </w:rPr>
        <w:t>2019年10月</w:t>
      </w:r>
      <w:r>
        <w:rPr>
          <w:rFonts w:hint="eastAsia" w:ascii="宋体" w:hAnsi="宋体"/>
          <w:szCs w:val="21"/>
          <w:lang w:val="en-US" w:eastAsia="zh-CN"/>
        </w:rPr>
        <w:t>9</w:t>
      </w:r>
      <w:r>
        <w:rPr>
          <w:rFonts w:hint="eastAsia" w:ascii="宋体" w:hAnsi="宋体"/>
          <w:szCs w:val="21"/>
        </w:rPr>
        <w:t>日</w:t>
      </w:r>
    </w:p>
    <w:p>
      <w:pPr>
        <w:rPr>
          <w:b/>
          <w:sz w:val="28"/>
          <w:szCs w:val="28"/>
        </w:rPr>
      </w:pPr>
      <w:bookmarkStart w:id="40" w:name="_GoBack"/>
      <w:bookmarkEnd w:id="4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rPr>
          <w:rFonts w:hint="eastAsia"/>
        </w:rPr>
      </w:pPr>
      <w:r>
        <w:rPr>
          <w:rStyle w:val="9"/>
        </w:rPr>
        <w:footnoteRef/>
      </w:r>
      <w:r>
        <w:rPr>
          <w:rFonts w:hint="eastAsia" w:ascii="黑体" w:hAnsi="黑体" w:eastAsia="黑体"/>
        </w:rPr>
        <w:t>投标人经审计的</w:t>
      </w:r>
      <w:r>
        <w:rPr>
          <w:rFonts w:hint="eastAsia" w:ascii="黑体" w:hAnsi="宋体" w:eastAsia="黑体"/>
          <w:b/>
          <w:bCs/>
          <w:szCs w:val="21"/>
        </w:rPr>
        <w:t>2018年</w:t>
      </w:r>
      <w:r>
        <w:rPr>
          <w:rFonts w:hint="eastAsia" w:ascii="黑体" w:hAnsi="黑体" w:eastAsia="黑体"/>
        </w:rPr>
        <w:t>财务报告中的流动资金不低于本表中要求，不强制开具银行信贷证明。银行信贷证明的证明时效必须满足预计工期同时由出具该证明的银行的法定代表人签署，并加盖该银行的法人公章。银行信贷证明必须在地（市）级或以上级别的信誉良好的国有或股份制商业银行支行开具。</w:t>
      </w:r>
    </w:p>
  </w:footnote>
  <w:footnote w:id="1">
    <w:p>
      <w:pPr>
        <w:pStyle w:val="5"/>
        <w:jc w:val="both"/>
        <w:rPr>
          <w:rFonts w:hint="eastAsia" w:ascii="宋体" w:hAnsi="宋体"/>
        </w:rPr>
      </w:pPr>
      <w:r>
        <w:rPr>
          <w:rStyle w:val="9"/>
        </w:rPr>
        <w:footnoteRef/>
      </w:r>
      <w:r>
        <w:t xml:space="preserve"> </w:t>
      </w:r>
      <w:r>
        <w:rPr>
          <w:rFonts w:hint="eastAsia" w:ascii="宋体" w:hAnsi="宋体"/>
        </w:rPr>
        <w:t>招标人应根据项目具体情况确定各评分因素及评分因素权重分值，并对各评分因素进行细分（如有）、确定各评分因素细分项的分值，各评分因素权重分值合计应为100分。各评分因素（评标价除外）得分均不应低于其权重分值的60%，且各评分因素得分应以评标委员会各成员的打分平均值确定，评标委员会成员总数为7人以上时，</w:t>
      </w:r>
      <w:r>
        <w:rPr>
          <w:rFonts w:hint="eastAsia"/>
          <w:b/>
        </w:rPr>
        <w:t>该平均值以去掉一个最高分和一个最低分后计算</w:t>
      </w:r>
      <w:r>
        <w:rPr>
          <w:rFonts w:hint="eastAsia"/>
        </w:rPr>
        <w:t>，</w:t>
      </w:r>
      <w:r>
        <w:rPr>
          <w:rFonts w:hint="eastAsia" w:ascii="宋体" w:hAnsi="宋体"/>
        </w:rPr>
        <w:t>取小数点后2位，小数点后第3位四舍五入。</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603BA"/>
    <w:rsid w:val="00314EA2"/>
    <w:rsid w:val="006603BA"/>
    <w:rsid w:val="006F5A92"/>
    <w:rsid w:val="007B21BD"/>
    <w:rsid w:val="00807656"/>
    <w:rsid w:val="0088580A"/>
    <w:rsid w:val="009D4C7F"/>
    <w:rsid w:val="00B81632"/>
    <w:rsid w:val="00E8785A"/>
    <w:rsid w:val="00E95CBD"/>
    <w:rsid w:val="0B04742D"/>
    <w:rsid w:val="18356B8B"/>
    <w:rsid w:val="21107979"/>
    <w:rsid w:val="219F4D58"/>
    <w:rsid w:val="29FC39A5"/>
    <w:rsid w:val="2B567B2D"/>
    <w:rsid w:val="44DE591F"/>
    <w:rsid w:val="491C7F1D"/>
    <w:rsid w:val="4A840134"/>
    <w:rsid w:val="5A631EFD"/>
    <w:rsid w:val="67D27FEB"/>
    <w:rsid w:val="73FC1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2"/>
    <w:qFormat/>
    <w:uiPriority w:val="0"/>
    <w:pPr>
      <w:keepNext/>
      <w:keepLines/>
      <w:spacing w:before="260" w:after="260" w:line="416" w:lineRule="auto"/>
      <w:outlineLvl w:val="2"/>
    </w:pPr>
    <w:rPr>
      <w:rFonts w:ascii="Calibri" w:hAnsi="Calibri" w:eastAsia="宋体" w:cs="Times New Roman"/>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8"/>
    <w:semiHidden/>
    <w:unhideWhenUsed/>
    <w:qFormat/>
    <w:uiPriority w:val="99"/>
    <w:pPr>
      <w:tabs>
        <w:tab w:val="center" w:pos="4153"/>
        <w:tab w:val="right" w:pos="8306"/>
      </w:tabs>
      <w:snapToGrid w:val="0"/>
      <w:jc w:val="left"/>
    </w:pPr>
    <w:rPr>
      <w:sz w:val="18"/>
      <w:szCs w:val="18"/>
    </w:rPr>
  </w:style>
  <w:style w:type="paragraph" w:styleId="4">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4"/>
    <w:unhideWhenUsed/>
    <w:qFormat/>
    <w:uiPriority w:val="0"/>
    <w:pPr>
      <w:snapToGrid w:val="0"/>
      <w:jc w:val="left"/>
    </w:pPr>
    <w:rPr>
      <w:sz w:val="18"/>
      <w:szCs w:val="18"/>
    </w:rPr>
  </w:style>
  <w:style w:type="paragraph" w:styleId="6">
    <w:name w:val="Body Text Indent 3"/>
    <w:basedOn w:val="1"/>
    <w:link w:val="11"/>
    <w:qFormat/>
    <w:uiPriority w:val="99"/>
    <w:pPr>
      <w:spacing w:line="420" w:lineRule="exact"/>
      <w:ind w:firstLine="420" w:firstLineChars="200"/>
    </w:pPr>
    <w:rPr>
      <w:rFonts w:ascii="Times New Roman" w:hAnsi="Times New Roman"/>
      <w:szCs w:val="24"/>
    </w:rPr>
  </w:style>
  <w:style w:type="character" w:styleId="9">
    <w:name w:val="footnote reference"/>
    <w:basedOn w:val="8"/>
    <w:qFormat/>
    <w:uiPriority w:val="0"/>
    <w:rPr>
      <w:vertAlign w:val="superscript"/>
    </w:rPr>
  </w:style>
  <w:style w:type="character" w:customStyle="1" w:styleId="10">
    <w:name w:val="正文文本缩进 3 Char"/>
    <w:basedOn w:val="8"/>
    <w:link w:val="6"/>
    <w:qFormat/>
    <w:uiPriority w:val="99"/>
    <w:rPr>
      <w:rFonts w:ascii="Times New Roman" w:hAnsi="Times New Roman"/>
      <w:szCs w:val="24"/>
    </w:rPr>
  </w:style>
  <w:style w:type="character" w:customStyle="1" w:styleId="11">
    <w:name w:val="正文文本缩进 3 Char1"/>
    <w:basedOn w:val="8"/>
    <w:link w:val="6"/>
    <w:semiHidden/>
    <w:qFormat/>
    <w:uiPriority w:val="99"/>
    <w:rPr>
      <w:sz w:val="16"/>
      <w:szCs w:val="16"/>
    </w:rPr>
  </w:style>
  <w:style w:type="character" w:customStyle="1" w:styleId="12">
    <w:name w:val="标题 3 Char"/>
    <w:basedOn w:val="8"/>
    <w:link w:val="2"/>
    <w:qFormat/>
    <w:uiPriority w:val="9"/>
    <w:rPr>
      <w:rFonts w:ascii="Calibri" w:hAnsi="Calibri" w:eastAsia="宋体" w:cs="Times New Roman"/>
      <w:b/>
      <w:bCs/>
      <w:sz w:val="32"/>
      <w:szCs w:val="32"/>
    </w:rPr>
  </w:style>
  <w:style w:type="character" w:customStyle="1" w:styleId="13">
    <w:name w:val="脚注文本 Char"/>
    <w:basedOn w:val="8"/>
    <w:link w:val="5"/>
    <w:qFormat/>
    <w:uiPriority w:val="0"/>
    <w:rPr>
      <w:sz w:val="18"/>
      <w:szCs w:val="18"/>
    </w:rPr>
  </w:style>
  <w:style w:type="character" w:customStyle="1" w:styleId="14">
    <w:name w:val="脚注文本 Char1"/>
    <w:basedOn w:val="8"/>
    <w:link w:val="5"/>
    <w:semiHidden/>
    <w:qFormat/>
    <w:uiPriority w:val="99"/>
    <w:rPr>
      <w:sz w:val="18"/>
      <w:szCs w:val="18"/>
    </w:rPr>
  </w:style>
  <w:style w:type="paragraph" w:customStyle="1" w:styleId="15">
    <w:name w:val="样式3"/>
    <w:basedOn w:val="1"/>
    <w:qFormat/>
    <w:uiPriority w:val="0"/>
    <w:pPr>
      <w:keepNext/>
      <w:keepLines/>
      <w:spacing w:line="400" w:lineRule="exact"/>
      <w:outlineLvl w:val="0"/>
    </w:pPr>
    <w:rPr>
      <w:rFonts w:ascii="Times New Roman" w:hAnsi="Times New Roman" w:eastAsia="宋体" w:cs="Times New Roman"/>
      <w:b/>
      <w:bCs/>
      <w:kern w:val="44"/>
      <w:sz w:val="28"/>
      <w:szCs w:val="44"/>
    </w:rPr>
  </w:style>
  <w:style w:type="character" w:customStyle="1" w:styleId="16">
    <w:name w:val="页眉 Char"/>
    <w:basedOn w:val="8"/>
    <w:link w:val="4"/>
    <w:qFormat/>
    <w:uiPriority w:val="0"/>
    <w:rPr>
      <w:sz w:val="18"/>
      <w:szCs w:val="18"/>
    </w:rPr>
  </w:style>
  <w:style w:type="character" w:customStyle="1" w:styleId="17">
    <w:name w:val="页眉 Char1"/>
    <w:basedOn w:val="8"/>
    <w:link w:val="4"/>
    <w:semiHidden/>
    <w:qFormat/>
    <w:uiPriority w:val="99"/>
    <w:rPr>
      <w:sz w:val="18"/>
      <w:szCs w:val="18"/>
    </w:rPr>
  </w:style>
  <w:style w:type="character" w:customStyle="1" w:styleId="18">
    <w:name w:val="页脚 Char"/>
    <w:basedOn w:val="8"/>
    <w:link w:val="3"/>
    <w:semiHidden/>
    <w:qFormat/>
    <w:uiPriority w:val="99"/>
    <w:rPr>
      <w:rFonts w:asciiTheme="minorHAnsi" w:hAnsiTheme="minorHAnsi" w:eastAsiaTheme="minorEastAsia" w:cstheme="minorBidi"/>
      <w:kern w:val="2"/>
      <w:sz w:val="18"/>
      <w:szCs w:val="18"/>
    </w:rPr>
  </w:style>
  <w:style w:type="paragraph" w:customStyle="1" w:styleId="19">
    <w:name w:val="正文文本 (14)"/>
    <w:basedOn w:val="1"/>
    <w:qFormat/>
    <w:uiPriority w:val="0"/>
    <w:pPr>
      <w:shd w:val="clear" w:color="auto" w:fill="FFFFFF"/>
      <w:spacing w:before="300" w:line="300" w:lineRule="exact"/>
      <w:jc w:val="distribute"/>
    </w:pPr>
    <w:rPr>
      <w:rFonts w:ascii="宋体" w:hAnsi="宋体"/>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10</Pages>
  <Words>1111</Words>
  <Characters>6335</Characters>
  <Lines>52</Lines>
  <Paragraphs>14</Paragraphs>
  <TotalTime>2</TotalTime>
  <ScaleCrop>false</ScaleCrop>
  <LinksUpToDate>false</LinksUpToDate>
  <CharactersWithSpaces>7432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2017-06-21T09:01:00Z</dcterms:created>
  <dc:creator>Administrator</dc:creator>
  <cp:lastModifiedBy>特雷西</cp:lastModifiedBy>
  <dcterms:modified xsi:type="dcterms:W3CDTF">2019-09-30T06:36:55Z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