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5.1-5.31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91220600MADGM0WA01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91220600MADG1E3C62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白山市仁康泰人民药店连锁有限公司十七店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91220600MADG1F3HXM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白山市浑江区永健兴大药房（个人独资）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91220602MADK49GT4U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赵喜芹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薛维兰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化学原料药及其制剂、中成药、抗生素原料药及其制剂、生物制品(除疫苗）、生化药品***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白山市浑江区永健兴大药房（个人独资）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91220602MADK49GT4U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赵喜芹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处方药、甲类非处方药、乙类非处方药；中成药、化学药(含冷藏药品)***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白山市明心堂大药房有限公司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91220600MA17MX689X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张颖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吉DA4391129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白山市万春堂大药房有限公司南岭佳园分店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91220602MA17YQAQ8G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万彬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吉DB4391182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bookmarkStart w:id="0" w:name="_GoBack"/>
            <w:bookmarkEnd w:id="0"/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吉林省合兴健康药房连锁有限责任公司连锁十九店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91220601686984218P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2024/5/21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0FAD5F95"/>
    <w:rsid w:val="160F0B37"/>
    <w:rsid w:val="1E632FF4"/>
    <w:rsid w:val="1F652A43"/>
    <w:rsid w:val="20AA51EA"/>
    <w:rsid w:val="2C605A77"/>
    <w:rsid w:val="31103683"/>
    <w:rsid w:val="325C5B98"/>
    <w:rsid w:val="364D5913"/>
    <w:rsid w:val="3A147B23"/>
    <w:rsid w:val="406332AD"/>
    <w:rsid w:val="425A7005"/>
    <w:rsid w:val="426625B1"/>
    <w:rsid w:val="43C866F5"/>
    <w:rsid w:val="45390A61"/>
    <w:rsid w:val="581F76EA"/>
    <w:rsid w:val="58C440E7"/>
    <w:rsid w:val="5B9F790B"/>
    <w:rsid w:val="5BB4461D"/>
    <w:rsid w:val="60017C7C"/>
    <w:rsid w:val="60CD2B67"/>
    <w:rsid w:val="64D16370"/>
    <w:rsid w:val="684D5822"/>
    <w:rsid w:val="693151DE"/>
    <w:rsid w:val="6AA74DA1"/>
    <w:rsid w:val="6ABF12D6"/>
    <w:rsid w:val="6AE63EF4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530</Words>
  <Characters>906</Characters>
  <Lines>85</Lines>
  <Paragraphs>64</Paragraphs>
  <TotalTime>2</TotalTime>
  <ScaleCrop>false</ScaleCrop>
  <LinksUpToDate>false</LinksUpToDate>
  <CharactersWithSpaces>937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2024-05-31T03:10:25Z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73B4DDD53ADA4F56A9DCCAD4C115818E</vt:lpwstr>
  </property>
</Properties>
</file>